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B261" w14:textId="77777777" w:rsidR="006E5807" w:rsidRPr="003C6782" w:rsidRDefault="00C0461B" w:rsidP="0024243B">
      <w:pPr>
        <w:tabs>
          <w:tab w:val="left" w:pos="6237"/>
          <w:tab w:val="left" w:pos="6379"/>
        </w:tabs>
        <w:suppressAutoHyphens/>
        <w:spacing w:line="270" w:lineRule="exact"/>
        <w:rPr>
          <w:rFonts w:ascii="Arial" w:hAnsi="Arial" w:cs="Arial"/>
          <w:b/>
          <w:bCs/>
          <w:color w:val="000000"/>
          <w:sz w:val="20"/>
          <w:szCs w:val="20"/>
          <w:lang w:val="tr-TR"/>
        </w:rPr>
      </w:pPr>
      <w:r w:rsidRPr="003C6782">
        <w:rPr>
          <w:rFonts w:ascii="Arial" w:hAnsi="Arial" w:cs="Arial"/>
          <w:bCs/>
          <w:color w:val="000000"/>
          <w:sz w:val="20"/>
          <w:szCs w:val="20"/>
          <w:lang w:val="tr-TR"/>
        </w:rPr>
        <w:t xml:space="preserve">Paris, </w:t>
      </w:r>
      <w:r w:rsidR="0076083F" w:rsidRPr="003C6782">
        <w:rPr>
          <w:rFonts w:ascii="Arial" w:hAnsi="Arial" w:cs="Arial"/>
          <w:bCs/>
          <w:color w:val="000000"/>
          <w:sz w:val="20"/>
          <w:szCs w:val="20"/>
          <w:lang w:val="tr-TR"/>
        </w:rPr>
        <w:t xml:space="preserve">12 </w:t>
      </w:r>
      <w:r w:rsidR="00BE7353" w:rsidRPr="003C6782">
        <w:rPr>
          <w:rFonts w:ascii="Arial" w:hAnsi="Arial" w:cs="Arial"/>
          <w:bCs/>
          <w:color w:val="000000"/>
          <w:sz w:val="20"/>
          <w:szCs w:val="20"/>
          <w:lang w:val="tr-TR"/>
        </w:rPr>
        <w:t xml:space="preserve">Aralık </w:t>
      </w:r>
      <w:r w:rsidR="00331F98" w:rsidRPr="003C6782">
        <w:rPr>
          <w:rFonts w:ascii="Arial" w:hAnsi="Arial" w:cs="Arial"/>
          <w:bCs/>
          <w:color w:val="000000"/>
          <w:sz w:val="20"/>
          <w:szCs w:val="20"/>
          <w:lang w:val="tr-TR"/>
        </w:rPr>
        <w:t>2014</w:t>
      </w:r>
    </w:p>
    <w:p w14:paraId="64AA35B0" w14:textId="77777777" w:rsidR="000A4BB0" w:rsidRPr="003C6782" w:rsidRDefault="000A4BB0" w:rsidP="00983D5A">
      <w:pPr>
        <w:suppressAutoHyphens/>
        <w:spacing w:line="270" w:lineRule="exact"/>
        <w:jc w:val="center"/>
        <w:rPr>
          <w:rFonts w:ascii="Arial" w:hAnsi="Arial" w:cs="Arial"/>
          <w:b/>
          <w:bCs/>
          <w:color w:val="000000"/>
          <w:lang w:val="tr-TR"/>
        </w:rPr>
      </w:pPr>
    </w:p>
    <w:p w14:paraId="70DA83EA" w14:textId="4290DDA3" w:rsidR="00AD4A68" w:rsidRPr="003C6782" w:rsidRDefault="00BE7353" w:rsidP="00596959">
      <w:pPr>
        <w:suppressAutoHyphens/>
        <w:spacing w:line="270" w:lineRule="exact"/>
        <w:jc w:val="center"/>
        <w:rPr>
          <w:rFonts w:ascii="Arial" w:hAnsi="Arial" w:cs="Arial"/>
          <w:b/>
          <w:bCs/>
          <w:color w:val="000000"/>
          <w:lang w:val="tr-TR"/>
        </w:rPr>
      </w:pPr>
      <w:r w:rsidRPr="003C6782">
        <w:rPr>
          <w:rFonts w:ascii="Arial" w:hAnsi="Arial" w:cs="Arial"/>
          <w:b/>
          <w:bCs/>
          <w:color w:val="000000"/>
          <w:lang w:val="tr-TR"/>
        </w:rPr>
        <w:t>Fransa’da “düşük enflasyon” büyüme hızında bir değişimin işaretçisi</w:t>
      </w:r>
    </w:p>
    <w:p w14:paraId="0A03A631" w14:textId="77777777" w:rsidR="00AD4A68" w:rsidRPr="003C6782" w:rsidRDefault="00AD4A68" w:rsidP="00AD4A68">
      <w:pPr>
        <w:suppressAutoHyphens/>
        <w:spacing w:line="270" w:lineRule="exact"/>
        <w:rPr>
          <w:rFonts w:ascii="Arial" w:hAnsi="Arial" w:cs="Arial"/>
          <w:b/>
          <w:bCs/>
          <w:color w:val="000000"/>
          <w:sz w:val="20"/>
          <w:szCs w:val="20"/>
          <w:lang w:val="tr-TR"/>
        </w:rPr>
      </w:pPr>
    </w:p>
    <w:p w14:paraId="490B54C8" w14:textId="551B845B" w:rsidR="00AD4A68" w:rsidRPr="00596959" w:rsidRDefault="009745C1" w:rsidP="00AD4A68">
      <w:pPr>
        <w:suppressAutoHyphens/>
        <w:spacing w:line="270" w:lineRule="exact"/>
        <w:jc w:val="both"/>
        <w:rPr>
          <w:rFonts w:ascii="Arial" w:hAnsi="Arial" w:cs="Arial"/>
          <w:b/>
          <w:sz w:val="26"/>
          <w:szCs w:val="26"/>
          <w:lang w:val="tr-TR"/>
        </w:rPr>
      </w:pPr>
      <w:r w:rsidRPr="00596959">
        <w:rPr>
          <w:rFonts w:ascii="Arial" w:hAnsi="Arial" w:cs="Arial"/>
          <w:b/>
          <w:sz w:val="26"/>
          <w:szCs w:val="26"/>
          <w:lang w:val="tr-TR"/>
        </w:rPr>
        <w:t xml:space="preserve">Düşük enflasyon ve durgun büyüme performansının </w:t>
      </w:r>
      <w:r w:rsidR="008B7ACD" w:rsidRPr="00596959">
        <w:rPr>
          <w:rFonts w:ascii="Arial" w:hAnsi="Arial" w:cs="Arial"/>
          <w:b/>
          <w:sz w:val="26"/>
          <w:szCs w:val="26"/>
          <w:lang w:val="tr-TR"/>
        </w:rPr>
        <w:t xml:space="preserve">öne çıktığı bir </w:t>
      </w:r>
      <w:r w:rsidR="00596959">
        <w:rPr>
          <w:rFonts w:ascii="Arial" w:hAnsi="Arial" w:cs="Arial"/>
          <w:b/>
          <w:sz w:val="26"/>
          <w:szCs w:val="26"/>
          <w:lang w:val="tr-TR"/>
        </w:rPr>
        <w:t>süreçte</w:t>
      </w:r>
      <w:r w:rsidR="008B7ACD" w:rsidRPr="00596959">
        <w:rPr>
          <w:rFonts w:ascii="Arial" w:hAnsi="Arial" w:cs="Arial"/>
          <w:b/>
          <w:sz w:val="26"/>
          <w:szCs w:val="26"/>
          <w:lang w:val="tr-TR"/>
        </w:rPr>
        <w:t xml:space="preserve"> Fransa fiyat düşüşleri kısır döngüsünden kurtulamama tehlikesi ile karşı karşıya.</w:t>
      </w:r>
      <w:r w:rsidR="00AD4A68" w:rsidRPr="00596959">
        <w:rPr>
          <w:rFonts w:ascii="Arial" w:hAnsi="Arial" w:cs="Arial"/>
          <w:b/>
          <w:sz w:val="26"/>
          <w:szCs w:val="26"/>
          <w:lang w:val="tr-TR"/>
        </w:rPr>
        <w:t xml:space="preserve"> </w:t>
      </w:r>
      <w:r w:rsidR="00DB6BBF" w:rsidRPr="00596959">
        <w:rPr>
          <w:rFonts w:ascii="Arial" w:hAnsi="Arial" w:cs="Arial"/>
          <w:b/>
          <w:sz w:val="26"/>
          <w:szCs w:val="26"/>
          <w:lang w:val="tr-TR"/>
        </w:rPr>
        <w:t>Fransa’nın 1930’larda ABD ve bazı Avrupa ülkelerinin yaşadığı derin depresyonun aşırı uçlarına gitmese bile 1990 ile 2</w:t>
      </w:r>
      <w:bookmarkStart w:id="0" w:name="_GoBack"/>
      <w:bookmarkEnd w:id="0"/>
      <w:r w:rsidR="00DB6BBF" w:rsidRPr="00596959">
        <w:rPr>
          <w:rFonts w:ascii="Arial" w:hAnsi="Arial" w:cs="Arial"/>
          <w:b/>
          <w:sz w:val="26"/>
          <w:szCs w:val="26"/>
          <w:lang w:val="tr-TR"/>
        </w:rPr>
        <w:t>010 arasında Japonya’nın yaşadığı</w:t>
      </w:r>
      <w:r w:rsidR="003C6782" w:rsidRPr="00596959">
        <w:rPr>
          <w:rFonts w:ascii="Arial" w:hAnsi="Arial" w:cs="Arial"/>
          <w:b/>
          <w:sz w:val="26"/>
          <w:szCs w:val="26"/>
          <w:lang w:val="tr-TR"/>
        </w:rPr>
        <w:t xml:space="preserve"> uzun süren fiyat ve büyüme durg</w:t>
      </w:r>
      <w:r w:rsidR="00DB6BBF" w:rsidRPr="00596959">
        <w:rPr>
          <w:rFonts w:ascii="Arial" w:hAnsi="Arial" w:cs="Arial"/>
          <w:b/>
          <w:sz w:val="26"/>
          <w:szCs w:val="26"/>
          <w:lang w:val="tr-TR"/>
        </w:rPr>
        <w:t>unluğunu yaşaması mümkün mü</w:t>
      </w:r>
      <w:r w:rsidR="00AD4A68" w:rsidRPr="00596959">
        <w:rPr>
          <w:rFonts w:ascii="Arial" w:hAnsi="Arial" w:cs="Arial"/>
          <w:b/>
          <w:sz w:val="26"/>
          <w:szCs w:val="26"/>
          <w:lang w:val="tr-TR"/>
        </w:rPr>
        <w:t xml:space="preserve">? </w:t>
      </w:r>
      <w:r w:rsidR="00DB6BBF" w:rsidRPr="00596959">
        <w:rPr>
          <w:rFonts w:ascii="Arial" w:hAnsi="Arial" w:cs="Arial"/>
          <w:b/>
          <w:sz w:val="26"/>
          <w:szCs w:val="26"/>
          <w:lang w:val="tr-TR"/>
        </w:rPr>
        <w:t>Böyle bir durumda bu Fransa ekonomisi ve şirketleri için ne anlama gelir</w:t>
      </w:r>
      <w:r w:rsidR="00AD4A68" w:rsidRPr="00596959">
        <w:rPr>
          <w:rFonts w:ascii="Arial" w:hAnsi="Arial" w:cs="Arial"/>
          <w:b/>
          <w:sz w:val="26"/>
          <w:szCs w:val="26"/>
          <w:lang w:val="tr-TR"/>
        </w:rPr>
        <w:t>?</w:t>
      </w:r>
    </w:p>
    <w:p w14:paraId="52C05239" w14:textId="77777777" w:rsidR="00AD4A68" w:rsidRPr="003C6782" w:rsidRDefault="00AD4A68" w:rsidP="00AD4A68">
      <w:pPr>
        <w:suppressAutoHyphens/>
        <w:spacing w:line="270" w:lineRule="exact"/>
        <w:jc w:val="both"/>
        <w:rPr>
          <w:rFonts w:ascii="Arial" w:hAnsi="Arial" w:cs="Arial"/>
          <w:sz w:val="22"/>
          <w:szCs w:val="22"/>
          <w:lang w:val="tr-TR"/>
        </w:rPr>
      </w:pPr>
    </w:p>
    <w:p w14:paraId="44C7A5D2" w14:textId="0D26474C" w:rsidR="00AD4A68" w:rsidRPr="003C6782" w:rsidRDefault="00DB6BBF" w:rsidP="00AD4A68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3C6782">
        <w:rPr>
          <w:rFonts w:ascii="Arial" w:hAnsi="Arial" w:cs="Arial"/>
          <w:b/>
          <w:sz w:val="22"/>
          <w:szCs w:val="22"/>
          <w:lang w:val="tr-TR"/>
        </w:rPr>
        <w:t>Japonya’da yaşanan 20 yıllık düşük enflasyon sür</w:t>
      </w:r>
      <w:r w:rsidR="00382E14" w:rsidRPr="003C6782">
        <w:rPr>
          <w:rFonts w:ascii="Arial" w:hAnsi="Arial" w:cs="Arial"/>
          <w:b/>
          <w:sz w:val="22"/>
          <w:szCs w:val="22"/>
          <w:lang w:val="tr-TR"/>
        </w:rPr>
        <w:t>e</w:t>
      </w:r>
      <w:r w:rsidRPr="003C6782">
        <w:rPr>
          <w:rFonts w:ascii="Arial" w:hAnsi="Arial" w:cs="Arial"/>
          <w:b/>
          <w:sz w:val="22"/>
          <w:szCs w:val="22"/>
          <w:lang w:val="tr-TR"/>
        </w:rPr>
        <w:t>cinden ne dersler çıkarabiliriz?</w:t>
      </w:r>
    </w:p>
    <w:p w14:paraId="3A314886" w14:textId="77777777" w:rsidR="00AD4A68" w:rsidRPr="003C6782" w:rsidRDefault="00AD4A68" w:rsidP="00AD4A68">
      <w:p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FB8115A" w14:textId="02C06829" w:rsidR="00AD4A68" w:rsidRPr="003C6782" w:rsidRDefault="00DB6BBF" w:rsidP="00AD4A68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  <w:r w:rsidRPr="003C6782">
        <w:rPr>
          <w:rFonts w:ascii="Arial" w:hAnsi="Arial" w:cs="Arial"/>
          <w:sz w:val="20"/>
          <w:szCs w:val="20"/>
          <w:lang w:val="tr-TR"/>
        </w:rPr>
        <w:t>Japonya 1990 ile 2010 arasındaki 20 yıllık dönemde ortalama büyümenin yüzde +1 ve ortalama enflasyonun yüzde +0,3 olduğu bir düşük enflasyon süreci yaşadı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. </w:t>
      </w:r>
      <w:r w:rsidRPr="003C6782">
        <w:rPr>
          <w:rFonts w:ascii="Arial" w:hAnsi="Arial" w:cs="Arial"/>
          <w:sz w:val="20"/>
          <w:szCs w:val="20"/>
          <w:lang w:val="tr-TR"/>
        </w:rPr>
        <w:t>Dışa açılım sürecinin ardından 1980’lerde ekonomisinin aşırı ısınması ile birlikte Japonya 1990’ların başlarında ilk iflas dalgasını yaşadı.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 </w:t>
      </w:r>
      <w:r w:rsidRPr="003C6782">
        <w:rPr>
          <w:rFonts w:ascii="Arial" w:hAnsi="Arial" w:cs="Arial"/>
          <w:sz w:val="20"/>
          <w:szCs w:val="20"/>
          <w:lang w:val="tr-TR"/>
        </w:rPr>
        <w:t>Düşük kâ</w:t>
      </w:r>
      <w:r w:rsidR="00382E14" w:rsidRPr="003C6782">
        <w:rPr>
          <w:rFonts w:ascii="Arial" w:hAnsi="Arial" w:cs="Arial"/>
          <w:sz w:val="20"/>
          <w:szCs w:val="20"/>
          <w:lang w:val="tr-TR"/>
        </w:rPr>
        <w:t>r</w:t>
      </w:r>
      <w:r w:rsidRPr="003C6782">
        <w:rPr>
          <w:rFonts w:ascii="Arial" w:hAnsi="Arial" w:cs="Arial"/>
          <w:sz w:val="20"/>
          <w:szCs w:val="20"/>
          <w:lang w:val="tr-TR"/>
        </w:rPr>
        <w:t>lılık düzeyi</w:t>
      </w:r>
      <w:r w:rsidR="00382E14" w:rsidRPr="003C6782">
        <w:rPr>
          <w:rFonts w:ascii="Arial" w:hAnsi="Arial" w:cs="Arial"/>
          <w:sz w:val="20"/>
          <w:szCs w:val="20"/>
          <w:lang w:val="tr-TR"/>
        </w:rPr>
        <w:t>,</w:t>
      </w:r>
      <w:r w:rsidRPr="003C6782">
        <w:rPr>
          <w:rFonts w:ascii="Arial" w:hAnsi="Arial" w:cs="Arial"/>
          <w:sz w:val="20"/>
          <w:szCs w:val="20"/>
          <w:lang w:val="tr-TR"/>
        </w:rPr>
        <w:t xml:space="preserve"> </w:t>
      </w:r>
      <w:r w:rsidR="00382E14" w:rsidRPr="003C6782">
        <w:rPr>
          <w:rFonts w:ascii="Arial" w:hAnsi="Arial" w:cs="Arial"/>
          <w:sz w:val="20"/>
          <w:szCs w:val="20"/>
          <w:lang w:val="tr-TR"/>
        </w:rPr>
        <w:t>yüksek borç düzeyi ve aşırı kapasite sorunları yaşayan Japon şirketlerinin çoğu, hızla yükselen enflasyon</w:t>
      </w:r>
      <w:r w:rsidR="00251650" w:rsidRPr="003C6782">
        <w:rPr>
          <w:rFonts w:ascii="Arial" w:hAnsi="Arial" w:cs="Arial"/>
          <w:sz w:val="20"/>
          <w:szCs w:val="20"/>
          <w:lang w:val="tr-TR"/>
        </w:rPr>
        <w:t xml:space="preserve"> ve bunu takip eden deflasyon sürecinden </w:t>
      </w:r>
      <w:r w:rsidR="00382E14" w:rsidRPr="003C6782">
        <w:rPr>
          <w:rFonts w:ascii="Arial" w:hAnsi="Arial" w:cs="Arial"/>
          <w:sz w:val="20"/>
          <w:szCs w:val="20"/>
          <w:lang w:val="tr-TR"/>
        </w:rPr>
        <w:t xml:space="preserve">etkilenen bankaların kredilendirme koşullarını sıkılaştırmaları </w:t>
      </w:r>
      <w:r w:rsidR="00596959" w:rsidRPr="003C6782">
        <w:rPr>
          <w:rFonts w:ascii="Arial" w:hAnsi="Arial" w:cs="Arial"/>
          <w:sz w:val="20"/>
          <w:szCs w:val="20"/>
          <w:lang w:val="tr-TR"/>
        </w:rPr>
        <w:t>ile sıkıntıya</w:t>
      </w:r>
      <w:r w:rsidR="00382E14" w:rsidRPr="003C6782">
        <w:rPr>
          <w:rFonts w:ascii="Arial" w:hAnsi="Arial" w:cs="Arial"/>
          <w:sz w:val="20"/>
          <w:szCs w:val="20"/>
          <w:lang w:val="tr-TR"/>
        </w:rPr>
        <w:t xml:space="preserve"> düşmüştü.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 </w:t>
      </w:r>
      <w:r w:rsidR="00382E14" w:rsidRPr="003C6782">
        <w:rPr>
          <w:rFonts w:ascii="Arial" w:hAnsi="Arial" w:cs="Arial"/>
          <w:sz w:val="20"/>
          <w:szCs w:val="20"/>
          <w:lang w:val="tr-TR"/>
        </w:rPr>
        <w:t xml:space="preserve">KDV oranlarındaki artış sayesinde fiyatların tekrar yükselmeye başladığı 1997 yılındaki hafif bir soluklanmanın ardından </w:t>
      </w:r>
      <w:r w:rsidR="00251650" w:rsidRPr="003C6782">
        <w:rPr>
          <w:rFonts w:ascii="Arial" w:hAnsi="Arial" w:cs="Arial"/>
          <w:sz w:val="20"/>
          <w:szCs w:val="20"/>
          <w:lang w:val="tr-TR"/>
        </w:rPr>
        <w:t xml:space="preserve">2010 yılına kadar sürecek düşük </w:t>
      </w:r>
      <w:r w:rsidR="00596959" w:rsidRPr="003C6782">
        <w:rPr>
          <w:rFonts w:ascii="Arial" w:hAnsi="Arial" w:cs="Arial"/>
          <w:sz w:val="20"/>
          <w:szCs w:val="20"/>
          <w:lang w:val="tr-TR"/>
        </w:rPr>
        <w:t>enflasyon süreci</w:t>
      </w:r>
      <w:r w:rsidR="00251650" w:rsidRPr="003C6782">
        <w:rPr>
          <w:rFonts w:ascii="Arial" w:hAnsi="Arial" w:cs="Arial"/>
          <w:sz w:val="20"/>
          <w:szCs w:val="20"/>
          <w:lang w:val="tr-TR"/>
        </w:rPr>
        <w:t xml:space="preserve"> tekrar başlamış ve 2001 yılında bankalarda yaşanan yeniden yapılandırma sürecinin tetiklemesi ile iflaslar zirveye ulaşmıştı</w:t>
      </w:r>
      <w:r w:rsidR="00AD4A68" w:rsidRPr="003C6782">
        <w:rPr>
          <w:rFonts w:ascii="Arial" w:hAnsi="Arial" w:cs="Arial"/>
          <w:sz w:val="20"/>
          <w:szCs w:val="20"/>
          <w:lang w:val="tr-TR"/>
        </w:rPr>
        <w:t>.</w:t>
      </w:r>
    </w:p>
    <w:p w14:paraId="237E66EA" w14:textId="77777777" w:rsidR="00AD4A68" w:rsidRPr="003C6782" w:rsidRDefault="00AD4A68" w:rsidP="00AD4A68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</w:p>
    <w:p w14:paraId="433EE1D8" w14:textId="2B4D282F" w:rsidR="00D34995" w:rsidRPr="003C6782" w:rsidRDefault="00251650" w:rsidP="00AD4A68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  <w:r w:rsidRPr="003C6782">
        <w:rPr>
          <w:rFonts w:ascii="Arial" w:hAnsi="Arial" w:cs="Arial"/>
          <w:sz w:val="20"/>
          <w:szCs w:val="20"/>
          <w:lang w:val="tr-TR"/>
        </w:rPr>
        <w:t>Bu uzun süre</w:t>
      </w:r>
      <w:r w:rsidR="00FE39BD">
        <w:rPr>
          <w:rFonts w:ascii="Arial" w:hAnsi="Arial" w:cs="Arial"/>
          <w:sz w:val="20"/>
          <w:szCs w:val="20"/>
          <w:lang w:val="tr-TR"/>
        </w:rPr>
        <w:t>li fiyat</w:t>
      </w:r>
      <w:r w:rsidRPr="003C6782">
        <w:rPr>
          <w:rFonts w:ascii="Arial" w:hAnsi="Arial" w:cs="Arial"/>
          <w:sz w:val="20"/>
          <w:szCs w:val="20"/>
          <w:lang w:val="tr-TR"/>
        </w:rPr>
        <w:t xml:space="preserve"> durgunluğunun </w:t>
      </w:r>
      <w:r w:rsidR="00FE39BD">
        <w:rPr>
          <w:rFonts w:ascii="Arial" w:hAnsi="Arial" w:cs="Arial"/>
          <w:sz w:val="20"/>
          <w:szCs w:val="20"/>
          <w:lang w:val="tr-TR"/>
        </w:rPr>
        <w:t>arkasında bazı faktörler bulunuyordu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. </w:t>
      </w:r>
      <w:r w:rsidRPr="003C6782">
        <w:rPr>
          <w:rFonts w:ascii="Arial" w:hAnsi="Arial" w:cs="Arial"/>
          <w:sz w:val="20"/>
          <w:szCs w:val="20"/>
          <w:lang w:val="tr-TR"/>
        </w:rPr>
        <w:t>İlk olarak</w:t>
      </w:r>
      <w:r w:rsidR="003C6782">
        <w:rPr>
          <w:rFonts w:ascii="Arial" w:hAnsi="Arial" w:cs="Arial"/>
          <w:sz w:val="20"/>
          <w:szCs w:val="20"/>
          <w:lang w:val="tr-TR"/>
        </w:rPr>
        <w:t xml:space="preserve"> bankacılık sisteminin konsoli</w:t>
      </w:r>
      <w:r w:rsidRPr="003C6782">
        <w:rPr>
          <w:rFonts w:ascii="Arial" w:hAnsi="Arial" w:cs="Arial"/>
          <w:sz w:val="20"/>
          <w:szCs w:val="20"/>
          <w:lang w:val="tr-TR"/>
        </w:rPr>
        <w:t>d</w:t>
      </w:r>
      <w:r w:rsidR="003C6782">
        <w:rPr>
          <w:rFonts w:ascii="Arial" w:hAnsi="Arial" w:cs="Arial"/>
          <w:sz w:val="20"/>
          <w:szCs w:val="20"/>
          <w:lang w:val="tr-TR"/>
        </w:rPr>
        <w:t>a</w:t>
      </w:r>
      <w:r w:rsidRPr="003C6782">
        <w:rPr>
          <w:rFonts w:ascii="Arial" w:hAnsi="Arial" w:cs="Arial"/>
          <w:sz w:val="20"/>
          <w:szCs w:val="20"/>
          <w:lang w:val="tr-TR"/>
        </w:rPr>
        <w:t>syonu uzun süre ertelenmişti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. </w:t>
      </w:r>
      <w:r w:rsidRPr="003C6782">
        <w:rPr>
          <w:rFonts w:ascii="Arial" w:hAnsi="Arial" w:cs="Arial"/>
          <w:sz w:val="20"/>
          <w:szCs w:val="20"/>
          <w:lang w:val="tr-TR"/>
        </w:rPr>
        <w:t>İkinci olarak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 </w:t>
      </w:r>
      <w:r w:rsidR="00C43A3B" w:rsidRPr="003C6782">
        <w:rPr>
          <w:rFonts w:ascii="Arial" w:hAnsi="Arial" w:cs="Arial"/>
          <w:sz w:val="20"/>
          <w:szCs w:val="20"/>
          <w:lang w:val="tr-TR"/>
        </w:rPr>
        <w:t xml:space="preserve">Japonya Merkez Bankası’nın </w:t>
      </w:r>
      <w:r w:rsidR="00AD4A68" w:rsidRPr="003C6782">
        <w:rPr>
          <w:rFonts w:ascii="Arial" w:hAnsi="Arial" w:cs="Arial"/>
          <w:sz w:val="20"/>
          <w:szCs w:val="20"/>
          <w:lang w:val="tr-TR"/>
        </w:rPr>
        <w:t>“</w:t>
      </w:r>
      <w:r w:rsidR="00C43A3B" w:rsidRPr="003C6782">
        <w:rPr>
          <w:rFonts w:ascii="Arial" w:hAnsi="Arial" w:cs="Arial"/>
          <w:sz w:val="20"/>
          <w:szCs w:val="20"/>
          <w:lang w:val="tr-TR"/>
        </w:rPr>
        <w:t>sıfır faiz oranı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” </w:t>
      </w:r>
      <w:r w:rsidR="00C43A3B" w:rsidRPr="003C6782">
        <w:rPr>
          <w:rFonts w:ascii="Arial" w:hAnsi="Arial" w:cs="Arial"/>
          <w:sz w:val="20"/>
          <w:szCs w:val="20"/>
          <w:lang w:val="tr-TR"/>
        </w:rPr>
        <w:t>politikası işe yaramamış ve çok fazla miktardaki para arzı reel ekonomi üzerinde olumlu bir etki yaratmamıştı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. </w:t>
      </w:r>
      <w:r w:rsidR="00C43A3B" w:rsidRPr="003C6782">
        <w:rPr>
          <w:rFonts w:ascii="Arial" w:hAnsi="Arial" w:cs="Arial"/>
          <w:sz w:val="20"/>
          <w:szCs w:val="20"/>
          <w:lang w:val="tr-TR"/>
        </w:rPr>
        <w:t>Son olarak</w:t>
      </w:r>
      <w:r w:rsidR="00AD4A68" w:rsidRPr="003C6782">
        <w:rPr>
          <w:rFonts w:ascii="Arial" w:hAnsi="Arial" w:cs="Arial"/>
          <w:sz w:val="20"/>
          <w:szCs w:val="20"/>
          <w:lang w:val="tr-TR"/>
        </w:rPr>
        <w:t xml:space="preserve"> </w:t>
      </w:r>
      <w:r w:rsidR="00C43A3B" w:rsidRPr="003C6782">
        <w:rPr>
          <w:rFonts w:ascii="Arial" w:hAnsi="Arial" w:cs="Arial"/>
          <w:sz w:val="20"/>
          <w:szCs w:val="20"/>
          <w:lang w:val="tr-TR"/>
        </w:rPr>
        <w:t>söz konusu dönemde Japon ekonomisinin reel büyüme oranı potansiyel büyüme oranının altında kaldığı için kullanılmayan üretim kapasitesi fiyatları aşağı çekmişti.</w:t>
      </w:r>
    </w:p>
    <w:p w14:paraId="5E6AF635" w14:textId="77777777" w:rsidR="00D34995" w:rsidRPr="003C6782" w:rsidRDefault="00D34995" w:rsidP="00983D5A">
      <w:pPr>
        <w:suppressAutoHyphens/>
        <w:spacing w:line="270" w:lineRule="exact"/>
        <w:jc w:val="both"/>
        <w:rPr>
          <w:rFonts w:ascii="Arial" w:hAnsi="Arial" w:cs="Arial"/>
          <w:b/>
          <w:sz w:val="20"/>
          <w:lang w:val="tr-TR"/>
        </w:rPr>
      </w:pPr>
    </w:p>
    <w:p w14:paraId="487427D2" w14:textId="4A0B59E2" w:rsidR="004E7145" w:rsidRPr="00BE4633" w:rsidRDefault="00C43A3B" w:rsidP="00983D5A">
      <w:p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E4633">
        <w:rPr>
          <w:rFonts w:ascii="Arial" w:hAnsi="Arial" w:cs="Arial"/>
          <w:b/>
          <w:sz w:val="20"/>
          <w:szCs w:val="20"/>
          <w:lang w:val="tr-TR"/>
        </w:rPr>
        <w:t>Ciddi bir deflasyon riski olası görünmem</w:t>
      </w:r>
      <w:r w:rsidR="00FE39BD" w:rsidRPr="00BE4633">
        <w:rPr>
          <w:rFonts w:ascii="Arial" w:hAnsi="Arial" w:cs="Arial"/>
          <w:b/>
          <w:sz w:val="20"/>
          <w:szCs w:val="20"/>
          <w:lang w:val="tr-TR"/>
        </w:rPr>
        <w:t>ekle birlikte Japonya tarzı</w:t>
      </w:r>
      <w:r w:rsidRPr="00BE4633">
        <w:rPr>
          <w:rFonts w:ascii="Arial" w:hAnsi="Arial" w:cs="Arial"/>
          <w:b/>
          <w:sz w:val="20"/>
          <w:szCs w:val="20"/>
          <w:lang w:val="tr-TR"/>
        </w:rPr>
        <w:t xml:space="preserve"> uzun </w:t>
      </w:r>
      <w:r w:rsidR="00FE39BD" w:rsidRPr="00BE4633">
        <w:rPr>
          <w:rFonts w:ascii="Arial" w:hAnsi="Arial" w:cs="Arial"/>
          <w:b/>
          <w:sz w:val="20"/>
          <w:szCs w:val="20"/>
          <w:lang w:val="tr-TR"/>
        </w:rPr>
        <w:t>süreli düşük</w:t>
      </w:r>
      <w:r w:rsidRPr="00BE4633">
        <w:rPr>
          <w:rFonts w:ascii="Arial" w:hAnsi="Arial" w:cs="Arial"/>
          <w:b/>
          <w:sz w:val="20"/>
          <w:szCs w:val="20"/>
          <w:lang w:val="tr-TR"/>
        </w:rPr>
        <w:t xml:space="preserve"> “enflasyon riski” mevcuttur</w:t>
      </w:r>
    </w:p>
    <w:p w14:paraId="2B287197" w14:textId="77777777" w:rsidR="004E7145" w:rsidRPr="003C6782" w:rsidRDefault="004E7145" w:rsidP="00983D5A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499A8093" w14:textId="21E5DEFA" w:rsidR="004E7145" w:rsidRPr="003C6782" w:rsidRDefault="00C43A3B" w:rsidP="00983D5A">
      <w:pPr>
        <w:suppressAutoHyphens/>
        <w:spacing w:line="270" w:lineRule="exact"/>
        <w:jc w:val="both"/>
        <w:rPr>
          <w:rFonts w:ascii="Arial" w:hAnsi="Arial" w:cs="Arial"/>
          <w:sz w:val="20"/>
          <w:lang w:val="tr-TR"/>
        </w:rPr>
      </w:pPr>
      <w:r w:rsidRPr="003C6782">
        <w:rPr>
          <w:rFonts w:ascii="Arial" w:hAnsi="Arial" w:cs="Arial"/>
          <w:sz w:val="20"/>
          <w:lang w:val="tr-TR"/>
        </w:rPr>
        <w:t>Fransa’nın reel deflasyondan kaçınabileceğine inanmak için birkaç sebep mevcut</w:t>
      </w:r>
      <w:r w:rsidR="004E7145" w:rsidRPr="003C6782">
        <w:rPr>
          <w:rFonts w:ascii="Arial" w:hAnsi="Arial" w:cs="Arial"/>
          <w:sz w:val="20"/>
          <w:lang w:val="tr-TR"/>
        </w:rPr>
        <w:t xml:space="preserve">. </w:t>
      </w:r>
      <w:r w:rsidRPr="003C6782">
        <w:rPr>
          <w:rFonts w:ascii="Arial" w:hAnsi="Arial" w:cs="Arial"/>
          <w:sz w:val="20"/>
          <w:lang w:val="tr-TR"/>
        </w:rPr>
        <w:t>Ücretlerin göreceli esnekliği bu sebeplerden birisidir.</w:t>
      </w:r>
      <w:r w:rsidR="006767E5" w:rsidRPr="003C6782">
        <w:rPr>
          <w:rFonts w:ascii="Arial" w:hAnsi="Arial" w:cs="Arial"/>
          <w:sz w:val="20"/>
          <w:lang w:val="tr-TR"/>
        </w:rPr>
        <w:t xml:space="preserve"> </w:t>
      </w:r>
      <w:r w:rsidRPr="003C6782">
        <w:rPr>
          <w:rFonts w:ascii="Arial" w:hAnsi="Arial" w:cs="Arial"/>
          <w:sz w:val="20"/>
          <w:lang w:val="tr-TR"/>
        </w:rPr>
        <w:t>Düşük maliyetli likiditenin kolaylıkla ulaşılabilir olması ve piyasanın finansal istikrarını sağlamada aktif rol oynayan yenilikçi bir merkez bankası fiyatları destekleyen diğer faktörlerdir.</w:t>
      </w:r>
      <w:r w:rsidR="006767E5" w:rsidRPr="003C6782">
        <w:rPr>
          <w:rFonts w:ascii="Arial" w:hAnsi="Arial" w:cs="Arial"/>
          <w:sz w:val="20"/>
          <w:lang w:val="tr-TR"/>
        </w:rPr>
        <w:t xml:space="preserve"> </w:t>
      </w:r>
      <w:r w:rsidR="00FE39BD">
        <w:rPr>
          <w:rFonts w:ascii="Arial" w:hAnsi="Arial" w:cs="Arial"/>
          <w:sz w:val="20"/>
          <w:lang w:val="tr-TR"/>
        </w:rPr>
        <w:t>Bunlar 1930’larda</w:t>
      </w:r>
      <w:r w:rsidRPr="003C6782">
        <w:rPr>
          <w:rFonts w:ascii="Arial" w:hAnsi="Arial" w:cs="Arial"/>
          <w:sz w:val="20"/>
          <w:lang w:val="tr-TR"/>
        </w:rPr>
        <w:t xml:space="preserve"> </w:t>
      </w:r>
      <w:r w:rsidR="00FE39BD">
        <w:rPr>
          <w:rFonts w:ascii="Arial" w:hAnsi="Arial" w:cs="Arial"/>
          <w:sz w:val="20"/>
          <w:lang w:val="tr-TR"/>
        </w:rPr>
        <w:t>bulunmayan</w:t>
      </w:r>
      <w:r w:rsidRPr="003C6782">
        <w:rPr>
          <w:rFonts w:ascii="Arial" w:hAnsi="Arial" w:cs="Arial"/>
          <w:sz w:val="20"/>
          <w:lang w:val="tr-TR"/>
        </w:rPr>
        <w:t xml:space="preserve"> ve Avro bölgesinin deflasyon tuzağından kaçınmasını sağlayacak özelliklerdir.</w:t>
      </w:r>
      <w:r w:rsidR="004E7145" w:rsidRPr="003C6782">
        <w:rPr>
          <w:rFonts w:ascii="Arial" w:hAnsi="Arial" w:cs="Arial"/>
          <w:sz w:val="20"/>
          <w:lang w:val="tr-TR"/>
        </w:rPr>
        <w:t xml:space="preserve"> </w:t>
      </w:r>
    </w:p>
    <w:p w14:paraId="4743759F" w14:textId="77777777" w:rsidR="004E7145" w:rsidRPr="003C6782" w:rsidRDefault="004E7145" w:rsidP="00983D5A">
      <w:pPr>
        <w:suppressAutoHyphens/>
        <w:spacing w:line="270" w:lineRule="exact"/>
        <w:jc w:val="both"/>
        <w:rPr>
          <w:rFonts w:ascii="Arial" w:hAnsi="Arial" w:cs="Arial"/>
          <w:sz w:val="20"/>
          <w:lang w:val="tr-TR"/>
        </w:rPr>
      </w:pPr>
    </w:p>
    <w:p w14:paraId="02043606" w14:textId="1B24B004" w:rsidR="004E7145" w:rsidRPr="007967DE" w:rsidRDefault="00C43A3B" w:rsidP="00983D5A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  <w:r w:rsidRPr="007967DE">
        <w:rPr>
          <w:rFonts w:ascii="Arial" w:hAnsi="Arial" w:cs="Arial"/>
          <w:sz w:val="20"/>
          <w:lang w:val="tr-TR"/>
        </w:rPr>
        <w:t>Öte yandan</w:t>
      </w:r>
      <w:r w:rsidR="00E61A57" w:rsidRPr="007967DE">
        <w:rPr>
          <w:rFonts w:ascii="Arial" w:hAnsi="Arial" w:cs="Arial"/>
          <w:sz w:val="20"/>
          <w:lang w:val="tr-TR"/>
        </w:rPr>
        <w:t xml:space="preserve">, </w:t>
      </w:r>
      <w:r w:rsidRPr="007967DE">
        <w:rPr>
          <w:rFonts w:ascii="Arial" w:hAnsi="Arial" w:cs="Arial"/>
          <w:sz w:val="20"/>
          <w:lang w:val="tr-TR"/>
        </w:rPr>
        <w:t>Japonya’nın 1990’lardan itibaren yaşadığı tarzda uzun süreli bir “düşü</w:t>
      </w:r>
      <w:r w:rsidR="003C6782" w:rsidRPr="007967DE">
        <w:rPr>
          <w:rFonts w:ascii="Arial" w:hAnsi="Arial" w:cs="Arial"/>
          <w:sz w:val="20"/>
          <w:lang w:val="tr-TR"/>
        </w:rPr>
        <w:t>k enflasyon” ve zayıf büyüme sü</w:t>
      </w:r>
      <w:r w:rsidRPr="007967DE">
        <w:rPr>
          <w:rFonts w:ascii="Arial" w:hAnsi="Arial" w:cs="Arial"/>
          <w:sz w:val="20"/>
          <w:lang w:val="tr-TR"/>
        </w:rPr>
        <w:t>r</w:t>
      </w:r>
      <w:r w:rsidR="003C6782" w:rsidRPr="007967DE">
        <w:rPr>
          <w:rFonts w:ascii="Arial" w:hAnsi="Arial" w:cs="Arial"/>
          <w:sz w:val="20"/>
          <w:lang w:val="tr-TR"/>
        </w:rPr>
        <w:t>e</w:t>
      </w:r>
      <w:r w:rsidRPr="007967DE">
        <w:rPr>
          <w:rFonts w:ascii="Arial" w:hAnsi="Arial" w:cs="Arial"/>
          <w:sz w:val="20"/>
          <w:lang w:val="tr-TR"/>
        </w:rPr>
        <w:t>ci ile karşı karşıya kalma olasılığı daha yüksek görünmekt</w:t>
      </w:r>
      <w:r w:rsidR="003C6782" w:rsidRPr="007967DE">
        <w:rPr>
          <w:rFonts w:ascii="Arial" w:hAnsi="Arial" w:cs="Arial"/>
          <w:sz w:val="20"/>
          <w:lang w:val="tr-TR"/>
        </w:rPr>
        <w:t>e</w:t>
      </w:r>
      <w:r w:rsidRPr="007967DE">
        <w:rPr>
          <w:rFonts w:ascii="Arial" w:hAnsi="Arial" w:cs="Arial"/>
          <w:sz w:val="20"/>
          <w:lang w:val="tr-TR"/>
        </w:rPr>
        <w:t>dir.</w:t>
      </w:r>
      <w:r w:rsidR="00E61A57" w:rsidRPr="007967DE">
        <w:rPr>
          <w:rFonts w:ascii="Arial" w:hAnsi="Arial" w:cs="Arial"/>
          <w:sz w:val="20"/>
          <w:lang w:val="tr-TR"/>
        </w:rPr>
        <w:t xml:space="preserve"> </w:t>
      </w:r>
      <w:r w:rsidR="007967DE" w:rsidRPr="007967DE">
        <w:rPr>
          <w:rFonts w:ascii="Arial" w:hAnsi="Arial" w:cs="Arial"/>
          <w:sz w:val="20"/>
          <w:lang w:val="tr-TR"/>
        </w:rPr>
        <w:lastRenderedPageBreak/>
        <w:t>Hem</w:t>
      </w:r>
      <w:r w:rsidR="00D7767E" w:rsidRPr="007967DE">
        <w:rPr>
          <w:rFonts w:ascii="Arial" w:hAnsi="Arial" w:cs="Arial"/>
          <w:sz w:val="20"/>
          <w:lang w:val="tr-TR"/>
        </w:rPr>
        <w:t xml:space="preserve"> </w:t>
      </w:r>
      <w:r w:rsidR="007967DE">
        <w:rPr>
          <w:rFonts w:ascii="Arial" w:hAnsi="Arial" w:cs="Arial"/>
          <w:sz w:val="20"/>
          <w:lang w:val="tr-TR"/>
        </w:rPr>
        <w:t>büyüme hem de enflasyon aslınd</w:t>
      </w:r>
      <w:r w:rsidR="00D7767E" w:rsidRPr="007967DE">
        <w:rPr>
          <w:rFonts w:ascii="Arial" w:hAnsi="Arial" w:cs="Arial"/>
          <w:sz w:val="20"/>
          <w:lang w:val="tr-TR"/>
        </w:rPr>
        <w:t>a 2011 yılından bu yana aşağı yönlü bir seyir izliyor</w:t>
      </w:r>
      <w:r w:rsidR="00965E1F" w:rsidRPr="007967DE">
        <w:rPr>
          <w:rFonts w:ascii="Arial" w:hAnsi="Arial" w:cs="Arial"/>
          <w:sz w:val="20"/>
          <w:lang w:val="tr-TR"/>
        </w:rPr>
        <w:t xml:space="preserve">. </w:t>
      </w:r>
      <w:proofErr w:type="spellStart"/>
      <w:r w:rsidR="00D7767E" w:rsidRPr="007967DE">
        <w:rPr>
          <w:rFonts w:ascii="Arial" w:hAnsi="Arial" w:cs="Arial"/>
          <w:sz w:val="20"/>
          <w:lang w:val="tr-TR"/>
        </w:rPr>
        <w:t>C</w:t>
      </w:r>
      <w:r w:rsidR="007967DE">
        <w:rPr>
          <w:rFonts w:ascii="Arial" w:hAnsi="Arial" w:cs="Arial"/>
          <w:sz w:val="20"/>
          <w:lang w:val="tr-TR"/>
        </w:rPr>
        <w:t>o</w:t>
      </w:r>
      <w:r w:rsidR="00D7767E" w:rsidRPr="007967DE">
        <w:rPr>
          <w:rFonts w:ascii="Arial" w:hAnsi="Arial" w:cs="Arial"/>
          <w:sz w:val="20"/>
          <w:lang w:val="tr-TR"/>
        </w:rPr>
        <w:t>face</w:t>
      </w:r>
      <w:proofErr w:type="spellEnd"/>
      <w:r w:rsidR="00D7767E" w:rsidRPr="007967DE">
        <w:rPr>
          <w:rFonts w:ascii="Arial" w:hAnsi="Arial" w:cs="Arial"/>
          <w:sz w:val="20"/>
          <w:lang w:val="tr-TR"/>
        </w:rPr>
        <w:t xml:space="preserve"> tahminlerine dayalı olarak GSYH artışının 2014 yılında %0,4’ü ve 2015 yılında %0,8’i aşması beklenmiyor</w:t>
      </w:r>
      <w:r w:rsidR="00614EC0">
        <w:rPr>
          <w:rFonts w:ascii="Arial" w:hAnsi="Arial" w:cs="Arial"/>
          <w:sz w:val="20"/>
          <w:lang w:val="tr-TR"/>
        </w:rPr>
        <w:t>. B</w:t>
      </w:r>
      <w:r w:rsidR="00D7767E" w:rsidRPr="007967DE">
        <w:rPr>
          <w:rFonts w:ascii="Arial" w:hAnsi="Arial" w:cs="Arial"/>
          <w:sz w:val="20"/>
          <w:lang w:val="tr-TR"/>
        </w:rPr>
        <w:t>u oranlar %2,1 olarak gerçekleşen 2011 sev</w:t>
      </w:r>
      <w:r w:rsidR="007967DE">
        <w:rPr>
          <w:rFonts w:ascii="Arial" w:hAnsi="Arial" w:cs="Arial"/>
          <w:sz w:val="20"/>
          <w:lang w:val="tr-TR"/>
        </w:rPr>
        <w:t>i</w:t>
      </w:r>
      <w:r w:rsidR="00D7767E" w:rsidRPr="007967DE">
        <w:rPr>
          <w:rFonts w:ascii="Arial" w:hAnsi="Arial" w:cs="Arial"/>
          <w:sz w:val="20"/>
          <w:lang w:val="tr-TR"/>
        </w:rPr>
        <w:t xml:space="preserve">yesinin çok altındadır. </w:t>
      </w:r>
      <w:r w:rsidR="00D7767E" w:rsidRPr="007967DE">
        <w:rPr>
          <w:rFonts w:ascii="Arial" w:hAnsi="Arial" w:cs="Arial"/>
          <w:sz w:val="20"/>
          <w:szCs w:val="20"/>
          <w:lang w:val="tr-TR"/>
        </w:rPr>
        <w:t>Benzer şekilde</w:t>
      </w:r>
      <w:r w:rsidR="00965E1F" w:rsidRPr="007967DE">
        <w:rPr>
          <w:rFonts w:ascii="Arial" w:hAnsi="Arial" w:cs="Arial"/>
          <w:sz w:val="20"/>
          <w:szCs w:val="20"/>
          <w:lang w:val="tr-TR"/>
        </w:rPr>
        <w:t xml:space="preserve">, </w:t>
      </w:r>
      <w:r w:rsidR="007967DE">
        <w:rPr>
          <w:rFonts w:ascii="Arial" w:hAnsi="Arial" w:cs="Arial"/>
          <w:sz w:val="20"/>
          <w:szCs w:val="20"/>
          <w:lang w:val="tr-TR"/>
        </w:rPr>
        <w:t>Ekim 2014 so</w:t>
      </w:r>
      <w:r w:rsidR="00D7767E" w:rsidRPr="007967DE">
        <w:rPr>
          <w:rFonts w:ascii="Arial" w:hAnsi="Arial" w:cs="Arial"/>
          <w:sz w:val="20"/>
          <w:szCs w:val="20"/>
          <w:lang w:val="tr-TR"/>
        </w:rPr>
        <w:t>nu itib</w:t>
      </w:r>
      <w:r w:rsidR="007967DE">
        <w:rPr>
          <w:rFonts w:ascii="Arial" w:hAnsi="Arial" w:cs="Arial"/>
          <w:sz w:val="20"/>
          <w:szCs w:val="20"/>
          <w:lang w:val="tr-TR"/>
        </w:rPr>
        <w:t>a</w:t>
      </w:r>
      <w:r w:rsidR="00D7767E" w:rsidRPr="007967DE">
        <w:rPr>
          <w:rFonts w:ascii="Arial" w:hAnsi="Arial" w:cs="Arial"/>
          <w:sz w:val="20"/>
          <w:szCs w:val="20"/>
          <w:lang w:val="tr-TR"/>
        </w:rPr>
        <w:t>riyle yıllık bazda t</w:t>
      </w:r>
      <w:r w:rsidR="007967DE">
        <w:rPr>
          <w:rFonts w:ascii="Arial" w:hAnsi="Arial" w:cs="Arial"/>
          <w:sz w:val="20"/>
          <w:szCs w:val="20"/>
          <w:lang w:val="tr-TR"/>
        </w:rPr>
        <w:t>ü</w:t>
      </w:r>
      <w:r w:rsidR="00D7767E" w:rsidRPr="007967DE">
        <w:rPr>
          <w:rFonts w:ascii="Arial" w:hAnsi="Arial" w:cs="Arial"/>
          <w:sz w:val="20"/>
          <w:szCs w:val="20"/>
          <w:lang w:val="tr-TR"/>
        </w:rPr>
        <w:t>k</w:t>
      </w:r>
      <w:r w:rsidR="007967DE">
        <w:rPr>
          <w:rFonts w:ascii="Arial" w:hAnsi="Arial" w:cs="Arial"/>
          <w:sz w:val="20"/>
          <w:szCs w:val="20"/>
          <w:lang w:val="tr-TR"/>
        </w:rPr>
        <w:t>etici fiyat</w:t>
      </w:r>
      <w:r w:rsidR="00D7767E" w:rsidRPr="007967DE">
        <w:rPr>
          <w:rFonts w:ascii="Arial" w:hAnsi="Arial" w:cs="Arial"/>
          <w:sz w:val="20"/>
          <w:szCs w:val="20"/>
          <w:lang w:val="tr-TR"/>
        </w:rPr>
        <w:t>l</w:t>
      </w:r>
      <w:r w:rsidR="007967DE">
        <w:rPr>
          <w:rFonts w:ascii="Arial" w:hAnsi="Arial" w:cs="Arial"/>
          <w:sz w:val="20"/>
          <w:szCs w:val="20"/>
          <w:lang w:val="tr-TR"/>
        </w:rPr>
        <w:t>a</w:t>
      </w:r>
      <w:r w:rsidR="00D7767E" w:rsidRPr="007967DE">
        <w:rPr>
          <w:rFonts w:ascii="Arial" w:hAnsi="Arial" w:cs="Arial"/>
          <w:sz w:val="20"/>
          <w:szCs w:val="20"/>
          <w:lang w:val="tr-TR"/>
        </w:rPr>
        <w:t>rı sadece yüzde 0,5’lik bir artış kaydetmiştir</w:t>
      </w:r>
      <w:r w:rsidR="00614EC0">
        <w:rPr>
          <w:rFonts w:ascii="Arial" w:hAnsi="Arial" w:cs="Arial"/>
          <w:sz w:val="20"/>
          <w:szCs w:val="20"/>
          <w:lang w:val="tr-TR"/>
        </w:rPr>
        <w:t>.</w:t>
      </w:r>
      <w:r w:rsidR="00D7767E" w:rsidRPr="007967DE">
        <w:rPr>
          <w:rFonts w:ascii="Arial" w:hAnsi="Arial" w:cs="Arial"/>
          <w:sz w:val="20"/>
          <w:szCs w:val="20"/>
          <w:lang w:val="tr-TR"/>
        </w:rPr>
        <w:t xml:space="preserve"> 2011 yılında %2,3 olarak gerçekleşen enflasyonun 2015 yılına kadar ortalama %0,7 olarak gerçekleşmesi beklenmektedir. Ancak riskin </w:t>
      </w:r>
      <w:r w:rsidR="00003D2C" w:rsidRPr="007967DE">
        <w:rPr>
          <w:rFonts w:ascii="Arial" w:hAnsi="Arial" w:cs="Arial"/>
          <w:sz w:val="20"/>
          <w:szCs w:val="20"/>
          <w:lang w:val="tr-TR"/>
        </w:rPr>
        <w:t>mevcut bağlamında konumlandırılması gerekiyor.</w:t>
      </w:r>
      <w:r w:rsidR="00965E1F" w:rsidRPr="007967DE">
        <w:rPr>
          <w:rFonts w:ascii="Arial" w:hAnsi="Arial" w:cs="Arial"/>
          <w:sz w:val="20"/>
          <w:szCs w:val="20"/>
          <w:lang w:val="tr-TR"/>
        </w:rPr>
        <w:t xml:space="preserve"> </w:t>
      </w:r>
      <w:r w:rsidR="00003D2C" w:rsidRPr="007967DE">
        <w:rPr>
          <w:rFonts w:ascii="Arial" w:hAnsi="Arial" w:cs="Arial"/>
          <w:sz w:val="20"/>
          <w:szCs w:val="20"/>
          <w:lang w:val="tr-TR"/>
        </w:rPr>
        <w:t>Fransız bankacılık sektörü bugün Japon bankalarının 1990’lardaki durumuna göre çok daha sağlı</w:t>
      </w:r>
      <w:r w:rsidR="007967DE">
        <w:rPr>
          <w:rFonts w:ascii="Arial" w:hAnsi="Arial" w:cs="Arial"/>
          <w:sz w:val="20"/>
          <w:szCs w:val="20"/>
          <w:lang w:val="tr-TR"/>
        </w:rPr>
        <w:t>k</w:t>
      </w:r>
      <w:r w:rsidR="00003D2C" w:rsidRPr="007967DE">
        <w:rPr>
          <w:rFonts w:ascii="Arial" w:hAnsi="Arial" w:cs="Arial"/>
          <w:sz w:val="20"/>
          <w:szCs w:val="20"/>
          <w:lang w:val="tr-TR"/>
        </w:rPr>
        <w:t>lıdır</w:t>
      </w:r>
      <w:r w:rsidR="00965E1F" w:rsidRPr="007967DE">
        <w:rPr>
          <w:rFonts w:ascii="Arial" w:hAnsi="Arial" w:cs="Arial"/>
          <w:sz w:val="20"/>
          <w:szCs w:val="20"/>
          <w:lang w:val="tr-TR"/>
        </w:rPr>
        <w:t xml:space="preserve">. </w:t>
      </w:r>
      <w:r w:rsidR="00003D2C" w:rsidRPr="007967DE">
        <w:rPr>
          <w:rFonts w:ascii="Arial" w:hAnsi="Arial" w:cs="Arial"/>
          <w:sz w:val="20"/>
          <w:szCs w:val="20"/>
          <w:lang w:val="tr-TR"/>
        </w:rPr>
        <w:t xml:space="preserve">Ayrıca Fransız emlak sektörünün </w:t>
      </w:r>
      <w:r w:rsidR="00FE39BD">
        <w:rPr>
          <w:rFonts w:ascii="Arial" w:hAnsi="Arial" w:cs="Arial"/>
          <w:sz w:val="20"/>
          <w:szCs w:val="20"/>
          <w:lang w:val="tr-TR"/>
        </w:rPr>
        <w:t>fazlalıkları</w:t>
      </w:r>
      <w:r w:rsidR="00003D2C" w:rsidRPr="007967DE">
        <w:rPr>
          <w:rFonts w:ascii="Arial" w:hAnsi="Arial" w:cs="Arial"/>
          <w:sz w:val="20"/>
          <w:szCs w:val="20"/>
          <w:lang w:val="tr-TR"/>
        </w:rPr>
        <w:t xml:space="preserve"> o zamanlar Japonya’daki sektörün fazla</w:t>
      </w:r>
      <w:r w:rsidR="00FE39BD">
        <w:rPr>
          <w:rFonts w:ascii="Arial" w:hAnsi="Arial" w:cs="Arial"/>
          <w:sz w:val="20"/>
          <w:szCs w:val="20"/>
          <w:lang w:val="tr-TR"/>
        </w:rPr>
        <w:t>lıklarına</w:t>
      </w:r>
      <w:r w:rsidR="00003D2C" w:rsidRPr="007967DE">
        <w:rPr>
          <w:rFonts w:ascii="Arial" w:hAnsi="Arial" w:cs="Arial"/>
          <w:sz w:val="20"/>
          <w:szCs w:val="20"/>
          <w:lang w:val="tr-TR"/>
        </w:rPr>
        <w:t xml:space="preserve"> göre çok daha düşük seviyededir.</w:t>
      </w:r>
    </w:p>
    <w:p w14:paraId="76992ED0" w14:textId="77777777" w:rsidR="004E7145" w:rsidRPr="007967DE" w:rsidRDefault="004E7145" w:rsidP="00983D5A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6DA5C8F7" w14:textId="478E2893" w:rsidR="0050679C" w:rsidRPr="00BE4633" w:rsidRDefault="00003D2C" w:rsidP="00983D5A">
      <w:p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E4633">
        <w:rPr>
          <w:rFonts w:ascii="Arial" w:hAnsi="Arial" w:cs="Arial"/>
          <w:b/>
          <w:sz w:val="20"/>
          <w:szCs w:val="20"/>
          <w:lang w:val="tr-TR"/>
        </w:rPr>
        <w:t xml:space="preserve">Fransız şirketler için riskler ve fırsatlar nelerdir? </w:t>
      </w:r>
    </w:p>
    <w:p w14:paraId="0C1B8FC3" w14:textId="77777777" w:rsidR="004E7145" w:rsidRPr="007967DE" w:rsidRDefault="004E7145" w:rsidP="00983D5A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866F233" w14:textId="012D39E3" w:rsidR="00CE5172" w:rsidRPr="007967DE" w:rsidRDefault="00003D2C" w:rsidP="00983D5A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  <w:r w:rsidRPr="007967DE">
        <w:rPr>
          <w:rFonts w:ascii="Arial" w:hAnsi="Arial" w:cs="Arial"/>
          <w:sz w:val="20"/>
          <w:lang w:val="tr-TR"/>
        </w:rPr>
        <w:t xml:space="preserve">Japonya’da 1990’larda olduğu gibi, Fransa’daki </w:t>
      </w:r>
      <w:r w:rsidR="00E61A57" w:rsidRPr="007967DE">
        <w:rPr>
          <w:rFonts w:ascii="Arial" w:hAnsi="Arial" w:cs="Arial"/>
          <w:sz w:val="20"/>
          <w:lang w:val="tr-TR"/>
        </w:rPr>
        <w:t>“</w:t>
      </w:r>
      <w:r w:rsidRPr="007967DE">
        <w:rPr>
          <w:rFonts w:ascii="Arial" w:hAnsi="Arial" w:cs="Arial"/>
          <w:sz w:val="20"/>
          <w:lang w:val="tr-TR"/>
        </w:rPr>
        <w:t>düşük enflasyon</w:t>
      </w:r>
      <w:r w:rsidR="00E61A57" w:rsidRPr="007967DE">
        <w:rPr>
          <w:rFonts w:ascii="Arial" w:hAnsi="Arial" w:cs="Arial"/>
          <w:sz w:val="20"/>
          <w:lang w:val="tr-TR"/>
        </w:rPr>
        <w:t>”</w:t>
      </w:r>
      <w:r w:rsidR="00D34995" w:rsidRPr="007967DE">
        <w:rPr>
          <w:rFonts w:ascii="Arial" w:hAnsi="Arial" w:cs="Arial"/>
          <w:sz w:val="20"/>
          <w:lang w:val="tr-TR"/>
        </w:rPr>
        <w:t xml:space="preserve"> </w:t>
      </w:r>
      <w:r w:rsidRPr="007967DE">
        <w:rPr>
          <w:rFonts w:ascii="Arial" w:hAnsi="Arial" w:cs="Arial"/>
          <w:sz w:val="20"/>
          <w:lang w:val="tr-TR"/>
        </w:rPr>
        <w:t xml:space="preserve">krizin dolaylı bir sonucudur. </w:t>
      </w:r>
    </w:p>
    <w:p w14:paraId="40665782" w14:textId="77777777" w:rsidR="00E178A9" w:rsidRPr="007967DE" w:rsidRDefault="00E178A9" w:rsidP="00983D5A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</w:p>
    <w:p w14:paraId="3137ECEB" w14:textId="2A4DB2F1" w:rsidR="00D05E0E" w:rsidRPr="007967DE" w:rsidRDefault="00003D2C" w:rsidP="00D05E0E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  <w:r w:rsidRPr="007967DE">
        <w:rPr>
          <w:rFonts w:ascii="Arial" w:hAnsi="Arial" w:cs="Arial"/>
          <w:sz w:val="20"/>
          <w:szCs w:val="20"/>
          <w:lang w:val="tr-TR"/>
        </w:rPr>
        <w:t xml:space="preserve">Büyüme ve enflasyondaki bu eşzamanlı düşüş temel olarak </w:t>
      </w:r>
      <w:r w:rsidR="004F16D7">
        <w:rPr>
          <w:rFonts w:ascii="Arial" w:hAnsi="Arial" w:cs="Arial"/>
          <w:sz w:val="20"/>
          <w:szCs w:val="20"/>
          <w:lang w:val="tr-TR"/>
        </w:rPr>
        <w:t>kriz</w:t>
      </w:r>
      <w:r w:rsidRPr="007967DE">
        <w:rPr>
          <w:rFonts w:ascii="Arial" w:hAnsi="Arial" w:cs="Arial"/>
          <w:sz w:val="20"/>
          <w:szCs w:val="20"/>
          <w:lang w:val="tr-TR"/>
        </w:rPr>
        <w:t xml:space="preserve"> sonrasındaki dönemlerde normal </w:t>
      </w:r>
      <w:r w:rsidR="004949E3" w:rsidRPr="007967DE">
        <w:rPr>
          <w:rFonts w:ascii="Arial" w:hAnsi="Arial" w:cs="Arial"/>
          <w:sz w:val="20"/>
          <w:szCs w:val="20"/>
          <w:lang w:val="tr-TR"/>
        </w:rPr>
        <w:t>olarak yaşanan</w:t>
      </w:r>
      <w:r w:rsidRPr="007967DE">
        <w:rPr>
          <w:rFonts w:ascii="Arial" w:hAnsi="Arial" w:cs="Arial"/>
          <w:sz w:val="20"/>
          <w:szCs w:val="20"/>
          <w:lang w:val="tr-TR"/>
        </w:rPr>
        <w:t xml:space="preserve"> zayıf talebin bir sonucudur</w:t>
      </w:r>
      <w:r w:rsidR="00D05E0E" w:rsidRPr="007967DE">
        <w:rPr>
          <w:rFonts w:ascii="Arial" w:hAnsi="Arial" w:cs="Arial"/>
          <w:sz w:val="20"/>
          <w:szCs w:val="20"/>
          <w:lang w:val="tr-TR"/>
        </w:rPr>
        <w:t xml:space="preserve">. </w:t>
      </w:r>
      <w:r w:rsidRPr="007967DE">
        <w:rPr>
          <w:rFonts w:ascii="Arial" w:hAnsi="Arial" w:cs="Arial"/>
          <w:sz w:val="20"/>
          <w:szCs w:val="20"/>
          <w:lang w:val="tr-TR"/>
        </w:rPr>
        <w:t xml:space="preserve">Aşırı kapasitenin olması </w:t>
      </w:r>
      <w:r w:rsidR="00D05E0E" w:rsidRPr="007967DE">
        <w:rPr>
          <w:rFonts w:ascii="Arial" w:hAnsi="Arial" w:cs="Arial"/>
          <w:sz w:val="20"/>
          <w:szCs w:val="20"/>
          <w:lang w:val="tr-TR"/>
        </w:rPr>
        <w:t>(</w:t>
      </w:r>
      <w:r w:rsidR="007967DE" w:rsidRPr="007967DE">
        <w:rPr>
          <w:rFonts w:ascii="Arial" w:hAnsi="Arial" w:cs="Arial"/>
          <w:sz w:val="20"/>
          <w:szCs w:val="20"/>
          <w:lang w:val="tr-TR"/>
        </w:rPr>
        <w:t>üretim kapasitesi kullanma oranı halen kriz öncesindeki ortalamasının altındadır</w:t>
      </w:r>
      <w:r w:rsidR="00D05E0E" w:rsidRPr="007967DE">
        <w:rPr>
          <w:rFonts w:ascii="Arial" w:hAnsi="Arial" w:cs="Arial"/>
          <w:sz w:val="20"/>
          <w:szCs w:val="20"/>
          <w:lang w:val="tr-TR"/>
        </w:rPr>
        <w:t xml:space="preserve">) </w:t>
      </w:r>
      <w:r w:rsidR="007967DE" w:rsidRPr="007967DE">
        <w:rPr>
          <w:rFonts w:ascii="Arial" w:hAnsi="Arial" w:cs="Arial"/>
          <w:sz w:val="20"/>
          <w:szCs w:val="20"/>
          <w:lang w:val="tr-TR"/>
        </w:rPr>
        <w:t>birçok</w:t>
      </w:r>
      <w:r w:rsidR="004F16D7">
        <w:rPr>
          <w:rFonts w:ascii="Arial" w:hAnsi="Arial" w:cs="Arial"/>
          <w:sz w:val="20"/>
          <w:szCs w:val="20"/>
          <w:lang w:val="tr-TR"/>
        </w:rPr>
        <w:t xml:space="preserve"> sanayi sektörünün enflasyonda</w:t>
      </w:r>
      <w:r w:rsidR="007967DE" w:rsidRPr="007967DE">
        <w:rPr>
          <w:rFonts w:ascii="Arial" w:hAnsi="Arial" w:cs="Arial"/>
          <w:sz w:val="20"/>
          <w:szCs w:val="20"/>
          <w:lang w:val="tr-TR"/>
        </w:rPr>
        <w:t xml:space="preserve"> bir yavaşlama karşısında özellikle kırılgan olduğu anlamına geliyor</w:t>
      </w:r>
      <w:r w:rsidR="00D05E0E" w:rsidRPr="007967DE">
        <w:rPr>
          <w:rFonts w:ascii="Arial" w:hAnsi="Arial" w:cs="Arial"/>
          <w:sz w:val="20"/>
          <w:szCs w:val="20"/>
          <w:lang w:val="tr-TR"/>
        </w:rPr>
        <w:t xml:space="preserve">. </w:t>
      </w:r>
      <w:r w:rsidR="007967DE" w:rsidRPr="007967DE">
        <w:rPr>
          <w:rFonts w:ascii="Arial" w:hAnsi="Arial" w:cs="Arial"/>
          <w:sz w:val="20"/>
          <w:szCs w:val="20"/>
          <w:lang w:val="tr-TR"/>
        </w:rPr>
        <w:t xml:space="preserve">Bu gibi durumlarda şirketler </w:t>
      </w:r>
      <w:r w:rsidR="007967DE">
        <w:rPr>
          <w:rFonts w:ascii="Arial" w:hAnsi="Arial" w:cs="Arial"/>
          <w:sz w:val="20"/>
          <w:szCs w:val="20"/>
          <w:lang w:val="tr-TR"/>
        </w:rPr>
        <w:t>yatırım yapmak yerine bor</w:t>
      </w:r>
      <w:r w:rsidR="007967DE" w:rsidRPr="007967DE">
        <w:rPr>
          <w:rFonts w:ascii="Arial" w:hAnsi="Arial" w:cs="Arial"/>
          <w:sz w:val="20"/>
          <w:szCs w:val="20"/>
          <w:lang w:val="tr-TR"/>
        </w:rPr>
        <w:t>çl</w:t>
      </w:r>
      <w:r w:rsidR="007967DE">
        <w:rPr>
          <w:rFonts w:ascii="Arial" w:hAnsi="Arial" w:cs="Arial"/>
          <w:sz w:val="20"/>
          <w:szCs w:val="20"/>
          <w:lang w:val="tr-TR"/>
        </w:rPr>
        <w:t>a</w:t>
      </w:r>
      <w:r w:rsidR="007967DE" w:rsidRPr="007967DE">
        <w:rPr>
          <w:rFonts w:ascii="Arial" w:hAnsi="Arial" w:cs="Arial"/>
          <w:sz w:val="20"/>
          <w:szCs w:val="20"/>
          <w:lang w:val="tr-TR"/>
        </w:rPr>
        <w:t>rını azaltma ve nakit dengelerini sağlama eğilimi gösterirler</w:t>
      </w:r>
      <w:r w:rsidR="00614EC0">
        <w:rPr>
          <w:rFonts w:ascii="Arial" w:hAnsi="Arial" w:cs="Arial"/>
          <w:sz w:val="20"/>
          <w:szCs w:val="20"/>
          <w:lang w:val="tr-TR"/>
        </w:rPr>
        <w:t>.</w:t>
      </w:r>
      <w:r w:rsidR="007967DE" w:rsidRPr="007967DE">
        <w:rPr>
          <w:rFonts w:ascii="Arial" w:hAnsi="Arial" w:cs="Arial"/>
          <w:sz w:val="20"/>
          <w:szCs w:val="20"/>
          <w:lang w:val="tr-TR"/>
        </w:rPr>
        <w:t xml:space="preserve"> </w:t>
      </w:r>
      <w:r w:rsidR="00614EC0">
        <w:rPr>
          <w:rFonts w:ascii="Arial" w:hAnsi="Arial" w:cs="Arial"/>
          <w:sz w:val="20"/>
          <w:szCs w:val="20"/>
          <w:lang w:val="tr-TR"/>
        </w:rPr>
        <w:t>B</w:t>
      </w:r>
      <w:r w:rsidR="007967DE" w:rsidRPr="007967DE">
        <w:rPr>
          <w:rFonts w:ascii="Arial" w:hAnsi="Arial" w:cs="Arial"/>
          <w:sz w:val="20"/>
          <w:szCs w:val="20"/>
          <w:lang w:val="tr-TR"/>
        </w:rPr>
        <w:t>u</w:t>
      </w:r>
      <w:r w:rsidR="00614EC0">
        <w:rPr>
          <w:rFonts w:ascii="Arial" w:hAnsi="Arial" w:cs="Arial"/>
          <w:sz w:val="20"/>
          <w:szCs w:val="20"/>
          <w:lang w:val="tr-TR"/>
        </w:rPr>
        <w:t xml:space="preserve"> durum</w:t>
      </w:r>
      <w:r w:rsidR="007967DE" w:rsidRPr="007967DE">
        <w:rPr>
          <w:rFonts w:ascii="Arial" w:hAnsi="Arial" w:cs="Arial"/>
          <w:sz w:val="20"/>
          <w:szCs w:val="20"/>
          <w:lang w:val="tr-TR"/>
        </w:rPr>
        <w:t xml:space="preserve"> orta vadeli büyüme beklentileri için ters etki yaratır</w:t>
      </w:r>
      <w:r w:rsidR="00D05E0E" w:rsidRPr="007967DE">
        <w:rPr>
          <w:rFonts w:ascii="Arial" w:hAnsi="Arial" w:cs="Arial"/>
          <w:sz w:val="20"/>
          <w:szCs w:val="20"/>
          <w:lang w:val="tr-TR"/>
        </w:rPr>
        <w:t>.</w:t>
      </w:r>
    </w:p>
    <w:p w14:paraId="4988D347" w14:textId="77777777" w:rsidR="00D05E0E" w:rsidRPr="006767E5" w:rsidRDefault="00D05E0E" w:rsidP="00D05E0E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211E37D1" w14:textId="255D0066" w:rsidR="00D05E0E" w:rsidRPr="009670A5" w:rsidRDefault="007967DE" w:rsidP="00D05E0E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  <w:r w:rsidRPr="009670A5">
        <w:rPr>
          <w:rFonts w:ascii="Arial" w:hAnsi="Arial" w:cs="Arial"/>
          <w:sz w:val="20"/>
          <w:szCs w:val="20"/>
          <w:lang w:val="tr-TR"/>
        </w:rPr>
        <w:t>Öte yandan kısa vadede “düşük enflasyon” Fransız ekonomisi için belirli faydalara sahiptir.</w:t>
      </w:r>
      <w:r w:rsidR="00D05E0E" w:rsidRPr="009670A5">
        <w:rPr>
          <w:rFonts w:ascii="Arial" w:hAnsi="Arial" w:cs="Arial"/>
          <w:sz w:val="20"/>
          <w:szCs w:val="20"/>
          <w:lang w:val="tr-TR"/>
        </w:rPr>
        <w:t xml:space="preserve"> 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İlk olarak </w:t>
      </w:r>
      <w:r w:rsidR="004949E3" w:rsidRPr="009670A5">
        <w:rPr>
          <w:rFonts w:ascii="Arial" w:hAnsi="Arial" w:cs="Arial"/>
          <w:sz w:val="20"/>
          <w:szCs w:val="20"/>
          <w:lang w:val="tr-TR"/>
        </w:rPr>
        <w:t>hane</w:t>
      </w:r>
      <w:r w:rsidR="004949E3">
        <w:rPr>
          <w:rFonts w:ascii="Arial" w:hAnsi="Arial" w:cs="Arial"/>
          <w:sz w:val="20"/>
          <w:szCs w:val="20"/>
          <w:lang w:val="tr-TR"/>
        </w:rPr>
        <w:t xml:space="preserve"> </w:t>
      </w:r>
      <w:r w:rsidR="004949E3" w:rsidRPr="009670A5">
        <w:rPr>
          <w:rFonts w:ascii="Arial" w:hAnsi="Arial" w:cs="Arial"/>
          <w:sz w:val="20"/>
          <w:szCs w:val="20"/>
          <w:lang w:val="tr-TR"/>
        </w:rPr>
        <w:t>halklarının satın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 alma gücünü dolayısıyla tüketimi arttırır </w:t>
      </w:r>
      <w:r w:rsidR="004F16D7">
        <w:rPr>
          <w:rFonts w:ascii="Arial" w:hAnsi="Arial" w:cs="Arial"/>
          <w:sz w:val="20"/>
          <w:szCs w:val="20"/>
          <w:lang w:val="tr-TR"/>
        </w:rPr>
        <w:t>ki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 bu</w:t>
      </w:r>
      <w:r w:rsidR="004F16D7">
        <w:rPr>
          <w:rFonts w:ascii="Arial" w:hAnsi="Arial" w:cs="Arial"/>
          <w:sz w:val="20"/>
          <w:szCs w:val="20"/>
          <w:lang w:val="tr-TR"/>
        </w:rPr>
        <w:t>,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 halen ekonomik </w:t>
      </w:r>
      <w:r w:rsidR="004949E3" w:rsidRPr="009670A5">
        <w:rPr>
          <w:rFonts w:ascii="Arial" w:hAnsi="Arial" w:cs="Arial"/>
          <w:sz w:val="20"/>
          <w:szCs w:val="20"/>
          <w:lang w:val="tr-TR"/>
        </w:rPr>
        <w:t>büyümenin ana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 sürükleyici etkenini oluşturmaktadır.</w:t>
      </w:r>
      <w:r w:rsidR="00D05E0E" w:rsidRPr="009670A5">
        <w:rPr>
          <w:rFonts w:ascii="Arial" w:hAnsi="Arial" w:cs="Arial"/>
          <w:sz w:val="20"/>
          <w:szCs w:val="20"/>
          <w:lang w:val="tr-TR"/>
        </w:rPr>
        <w:t xml:space="preserve"> </w:t>
      </w:r>
      <w:r w:rsidR="00C17C58" w:rsidRPr="009670A5">
        <w:rPr>
          <w:rFonts w:ascii="Arial" w:hAnsi="Arial" w:cs="Arial"/>
          <w:sz w:val="20"/>
          <w:szCs w:val="20"/>
          <w:lang w:val="tr-TR"/>
        </w:rPr>
        <w:t>Şirketler bakımından</w:t>
      </w:r>
      <w:r w:rsidR="00D05E0E" w:rsidRPr="009670A5">
        <w:rPr>
          <w:rFonts w:ascii="Arial" w:hAnsi="Arial" w:cs="Arial"/>
          <w:sz w:val="20"/>
          <w:szCs w:val="20"/>
          <w:lang w:val="tr-TR"/>
        </w:rPr>
        <w:t xml:space="preserve"> </w:t>
      </w:r>
      <w:r w:rsidR="00C17C58" w:rsidRPr="009670A5">
        <w:rPr>
          <w:rFonts w:ascii="Arial" w:hAnsi="Arial" w:cs="Arial"/>
          <w:sz w:val="20"/>
          <w:szCs w:val="20"/>
          <w:lang w:val="tr-TR"/>
        </w:rPr>
        <w:t>düşük faiz oranlarının getirdiği uy</w:t>
      </w:r>
      <w:r w:rsidR="004949E3">
        <w:rPr>
          <w:rFonts w:ascii="Arial" w:hAnsi="Arial" w:cs="Arial"/>
          <w:sz w:val="20"/>
          <w:szCs w:val="20"/>
          <w:lang w:val="tr-TR"/>
        </w:rPr>
        <w:t>g</w:t>
      </w:r>
      <w:r w:rsidR="00C17C58" w:rsidRPr="009670A5">
        <w:rPr>
          <w:rFonts w:ascii="Arial" w:hAnsi="Arial" w:cs="Arial"/>
          <w:sz w:val="20"/>
          <w:szCs w:val="20"/>
          <w:lang w:val="tr-TR"/>
        </w:rPr>
        <w:t xml:space="preserve">un finansman koşullarının dışında, özellikle </w:t>
      </w:r>
      <w:r w:rsidR="009670A5" w:rsidRPr="009670A5">
        <w:rPr>
          <w:rFonts w:ascii="Arial" w:hAnsi="Arial" w:cs="Arial"/>
          <w:sz w:val="20"/>
          <w:szCs w:val="20"/>
          <w:lang w:val="tr-TR"/>
        </w:rPr>
        <w:t xml:space="preserve">petrol fiyatlarındaki düşüş </w:t>
      </w:r>
      <w:r w:rsidR="004949E3" w:rsidRPr="009670A5">
        <w:rPr>
          <w:rFonts w:ascii="Arial" w:hAnsi="Arial" w:cs="Arial"/>
          <w:sz w:val="20"/>
          <w:szCs w:val="20"/>
          <w:lang w:val="tr-TR"/>
        </w:rPr>
        <w:t>sonucunda üretim</w:t>
      </w:r>
      <w:r w:rsidR="009670A5" w:rsidRPr="009670A5">
        <w:rPr>
          <w:rFonts w:ascii="Arial" w:hAnsi="Arial" w:cs="Arial"/>
          <w:sz w:val="20"/>
          <w:szCs w:val="20"/>
          <w:lang w:val="tr-TR"/>
        </w:rPr>
        <w:t xml:space="preserve"> maliyetlerindeki azalma şirketlerin k</w:t>
      </w:r>
      <w:r w:rsidR="004949E3">
        <w:rPr>
          <w:rFonts w:ascii="Arial" w:hAnsi="Arial" w:cs="Arial"/>
          <w:sz w:val="20"/>
          <w:szCs w:val="20"/>
          <w:lang w:val="tr-TR"/>
        </w:rPr>
        <w:t>â</w:t>
      </w:r>
      <w:r w:rsidR="009670A5" w:rsidRPr="009670A5">
        <w:rPr>
          <w:rFonts w:ascii="Arial" w:hAnsi="Arial" w:cs="Arial"/>
          <w:sz w:val="20"/>
          <w:szCs w:val="20"/>
          <w:lang w:val="tr-TR"/>
        </w:rPr>
        <w:t>r marjları üzerinde olumlu bir etki yaratmaktadır</w:t>
      </w:r>
      <w:r w:rsidR="00D05E0E" w:rsidRPr="009670A5">
        <w:rPr>
          <w:rFonts w:ascii="Arial" w:hAnsi="Arial" w:cs="Arial"/>
          <w:sz w:val="20"/>
          <w:szCs w:val="20"/>
          <w:lang w:val="tr-TR"/>
        </w:rPr>
        <w:t xml:space="preserve">. </w:t>
      </w:r>
      <w:r w:rsidR="004F16D7">
        <w:rPr>
          <w:rFonts w:ascii="Arial" w:hAnsi="Arial" w:cs="Arial"/>
          <w:sz w:val="20"/>
          <w:szCs w:val="20"/>
          <w:lang w:val="tr-TR"/>
        </w:rPr>
        <w:t xml:space="preserve">Dünya </w:t>
      </w:r>
      <w:r w:rsidR="009670A5" w:rsidRPr="009670A5">
        <w:rPr>
          <w:rFonts w:ascii="Arial" w:hAnsi="Arial" w:cs="Arial"/>
          <w:sz w:val="20"/>
          <w:szCs w:val="20"/>
          <w:lang w:val="tr-TR"/>
        </w:rPr>
        <w:t>petrol fiyatlarında son zamanlarda yaşanan çöküşten en fazla yararlanan sektörler kimya ve taşımacılık sektörleri olmuştur</w:t>
      </w:r>
      <w:r w:rsidR="00D05E0E" w:rsidRPr="009670A5">
        <w:rPr>
          <w:rFonts w:ascii="Arial" w:hAnsi="Arial" w:cs="Arial"/>
          <w:sz w:val="20"/>
          <w:szCs w:val="20"/>
          <w:lang w:val="tr-TR"/>
        </w:rPr>
        <w:t>.</w:t>
      </w:r>
    </w:p>
    <w:p w14:paraId="1F500B6B" w14:textId="77777777" w:rsidR="00D05E0E" w:rsidRPr="009670A5" w:rsidRDefault="00D05E0E" w:rsidP="00D05E0E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</w:p>
    <w:p w14:paraId="5CD2CE14" w14:textId="1AE6BD03" w:rsidR="003D72B6" w:rsidRDefault="009670A5" w:rsidP="00D05E0E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  <w:r w:rsidRPr="009670A5">
        <w:rPr>
          <w:rFonts w:ascii="Arial" w:hAnsi="Arial" w:cs="Arial"/>
          <w:sz w:val="20"/>
          <w:lang w:val="tr-TR"/>
        </w:rPr>
        <w:t>Bu kısa vadeli etkilerin ötesinde, uzun süreli bir “düşük enflasyon” büyüme hızında bir değişimin işaretçisidir</w:t>
      </w:r>
      <w:r w:rsidR="004949E3">
        <w:rPr>
          <w:rFonts w:ascii="Arial" w:hAnsi="Arial" w:cs="Arial"/>
          <w:sz w:val="20"/>
          <w:lang w:val="tr-TR"/>
        </w:rPr>
        <w:t>.</w:t>
      </w:r>
      <w:r w:rsidR="00D05E0E" w:rsidRPr="009670A5">
        <w:rPr>
          <w:rFonts w:ascii="Arial" w:hAnsi="Arial" w:cs="Arial"/>
          <w:sz w:val="20"/>
          <w:lang w:val="tr-TR"/>
        </w:rPr>
        <w:t xml:space="preserve"> </w:t>
      </w:r>
      <w:r w:rsidR="004949E3">
        <w:rPr>
          <w:rFonts w:ascii="Arial" w:hAnsi="Arial" w:cs="Arial"/>
          <w:sz w:val="20"/>
          <w:lang w:val="tr-TR"/>
        </w:rPr>
        <w:t>S</w:t>
      </w:r>
      <w:r w:rsidRPr="009670A5">
        <w:rPr>
          <w:rFonts w:ascii="Arial" w:hAnsi="Arial" w:cs="Arial"/>
          <w:sz w:val="20"/>
          <w:lang w:val="tr-TR"/>
        </w:rPr>
        <w:t>adece daha düşük büyüme ve daha düşük enflasyonun değil, aynı zamanda şirketler için daha uygun finansman koşullarının ve üretim maliyetl</w:t>
      </w:r>
      <w:r>
        <w:rPr>
          <w:rFonts w:ascii="Arial" w:hAnsi="Arial" w:cs="Arial"/>
          <w:sz w:val="20"/>
          <w:lang w:val="tr-TR"/>
        </w:rPr>
        <w:t>e</w:t>
      </w:r>
      <w:r w:rsidRPr="009670A5">
        <w:rPr>
          <w:rFonts w:ascii="Arial" w:hAnsi="Arial" w:cs="Arial"/>
          <w:sz w:val="20"/>
          <w:lang w:val="tr-TR"/>
        </w:rPr>
        <w:t>rinde daha yavaş bir artışın işaretçisidir</w:t>
      </w:r>
      <w:r w:rsidR="00D05E0E" w:rsidRPr="009670A5">
        <w:rPr>
          <w:rFonts w:ascii="Arial" w:hAnsi="Arial" w:cs="Arial"/>
          <w:sz w:val="20"/>
          <w:lang w:val="tr-TR"/>
        </w:rPr>
        <w:t xml:space="preserve">. 2014 </w:t>
      </w:r>
      <w:r w:rsidRPr="009670A5">
        <w:rPr>
          <w:rFonts w:ascii="Arial" w:hAnsi="Arial" w:cs="Arial"/>
          <w:sz w:val="20"/>
          <w:lang w:val="tr-TR"/>
        </w:rPr>
        <w:t>yılı bunu teyit etmiştir</w:t>
      </w:r>
      <w:r w:rsidR="004949E3">
        <w:rPr>
          <w:rFonts w:ascii="Arial" w:hAnsi="Arial" w:cs="Arial"/>
          <w:sz w:val="20"/>
          <w:lang w:val="tr-TR"/>
        </w:rPr>
        <w:t>.</w:t>
      </w:r>
      <w:r w:rsidR="00D05E0E" w:rsidRPr="009670A5">
        <w:rPr>
          <w:rFonts w:ascii="Arial" w:hAnsi="Arial" w:cs="Arial"/>
          <w:sz w:val="20"/>
          <w:szCs w:val="20"/>
          <w:lang w:val="tr-TR"/>
        </w:rPr>
        <w:t xml:space="preserve"> 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Fransa’da tarihsel olarak iflasların sayısında bir azalma sağlanabilmesi için %1,6’nın üzerinde bir büyüme gerekirken sadece %0,4’lük bir GSYH artışına </w:t>
      </w:r>
      <w:r w:rsidR="004949E3" w:rsidRPr="009670A5">
        <w:rPr>
          <w:rFonts w:ascii="Arial" w:hAnsi="Arial" w:cs="Arial"/>
          <w:sz w:val="20"/>
          <w:szCs w:val="20"/>
          <w:lang w:val="tr-TR"/>
        </w:rPr>
        <w:t>rağmen iflasların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 sayısı dengelenmiştir</w:t>
      </w:r>
      <w:r w:rsidR="007E23BB">
        <w:rPr>
          <w:rFonts w:ascii="Arial" w:hAnsi="Arial" w:cs="Arial"/>
          <w:sz w:val="20"/>
          <w:szCs w:val="20"/>
          <w:lang w:val="tr-TR"/>
        </w:rPr>
        <w:t>.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 </w:t>
      </w:r>
      <w:r w:rsidR="0001223B" w:rsidRPr="009670A5">
        <w:rPr>
          <w:rFonts w:ascii="Arial" w:hAnsi="Arial" w:cs="Arial"/>
          <w:sz w:val="20"/>
          <w:szCs w:val="20"/>
          <w:lang w:val="tr-TR"/>
        </w:rPr>
        <w:t>(</w:t>
      </w:r>
      <w:r w:rsidR="004949E3">
        <w:rPr>
          <w:rFonts w:ascii="Arial" w:hAnsi="Arial" w:cs="Arial"/>
          <w:sz w:val="20"/>
          <w:szCs w:val="20"/>
          <w:lang w:val="tr-TR"/>
        </w:rPr>
        <w:t>H</w:t>
      </w:r>
      <w:r w:rsidRPr="009670A5">
        <w:rPr>
          <w:rFonts w:ascii="Arial" w:hAnsi="Arial" w:cs="Arial"/>
          <w:sz w:val="20"/>
          <w:szCs w:val="20"/>
          <w:lang w:val="tr-TR"/>
        </w:rPr>
        <w:t>atta 2014 yılının tamamı için 2013 yılına göre %-1,2 gibi küçük bir azalma da beklenmektedir</w:t>
      </w:r>
      <w:r w:rsidR="00387DB2" w:rsidRPr="009670A5">
        <w:rPr>
          <w:rFonts w:ascii="Arial" w:hAnsi="Arial" w:cs="Arial"/>
          <w:sz w:val="20"/>
          <w:szCs w:val="20"/>
          <w:lang w:val="tr-TR"/>
        </w:rPr>
        <w:t>)</w:t>
      </w:r>
      <w:r w:rsidRPr="009670A5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25FE0B13" w14:textId="77777777" w:rsidR="00596959" w:rsidRDefault="00596959" w:rsidP="00D05E0E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</w:p>
    <w:p w14:paraId="066F659D" w14:textId="77777777" w:rsidR="00596959" w:rsidRDefault="00596959" w:rsidP="00596959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sz w:val="18"/>
          <w:szCs w:val="16"/>
          <w:lang w:val="nl-NL"/>
        </w:rPr>
      </w:pPr>
    </w:p>
    <w:p w14:paraId="7A99F8EB" w14:textId="77777777" w:rsidR="00596959" w:rsidRDefault="00596959" w:rsidP="00596959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sz w:val="18"/>
          <w:szCs w:val="16"/>
          <w:lang w:val="nl-NL"/>
        </w:rPr>
      </w:pPr>
    </w:p>
    <w:p w14:paraId="5982F2DA" w14:textId="77777777" w:rsidR="00596959" w:rsidRDefault="00596959" w:rsidP="00596959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sz w:val="18"/>
          <w:szCs w:val="16"/>
          <w:lang w:val="nl-NL"/>
        </w:rPr>
      </w:pPr>
      <w:r>
        <w:rPr>
          <w:rFonts w:ascii="Arial" w:hAnsi="Arial" w:cs="Arial"/>
          <w:b/>
          <w:bCs/>
          <w:sz w:val="18"/>
          <w:szCs w:val="16"/>
          <w:lang w:val="nl-NL"/>
        </w:rPr>
        <w:t>İLETİŞİM VE BİLGİ İÇİN</w:t>
      </w:r>
    </w:p>
    <w:p w14:paraId="0FAB8404" w14:textId="77777777" w:rsidR="00596959" w:rsidRDefault="00596959" w:rsidP="00596959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6"/>
          <w:lang w:val="it-IT"/>
        </w:rPr>
        <w:t>Pelin BAYRAM – T. 0</w:t>
      </w:r>
      <w:r>
        <w:rPr>
          <w:rFonts w:ascii="Arial" w:eastAsia="Times New Roman" w:hAnsi="Arial" w:cs="Arial"/>
          <w:color w:val="000000"/>
          <w:sz w:val="18"/>
          <w:szCs w:val="18"/>
        </w:rPr>
        <w:t>530</w:t>
      </w:r>
      <w:r w:rsidRPr="004C1AA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347 6471  </w:t>
      </w:r>
      <w:hyperlink r:id="rId9" w:history="1">
        <w:r w:rsidRPr="00093C2E">
          <w:rPr>
            <w:rStyle w:val="Hyperlink"/>
            <w:rFonts w:ascii="Arial" w:eastAsia="Times New Roman" w:hAnsi="Arial" w:cs="Arial"/>
            <w:sz w:val="18"/>
            <w:szCs w:val="18"/>
          </w:rPr>
          <w:t>pelin@ifmmedya.com</w:t>
        </w:r>
      </w:hyperlink>
    </w:p>
    <w:p w14:paraId="41F459BB" w14:textId="77777777" w:rsidR="00596959" w:rsidRPr="00BD64DB" w:rsidRDefault="00596959" w:rsidP="00596959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18"/>
          <w:szCs w:val="16"/>
          <w:lang w:val="nl-NL"/>
        </w:rPr>
      </w:pPr>
    </w:p>
    <w:p w14:paraId="56233153" w14:textId="77777777" w:rsidR="00596959" w:rsidRDefault="00596959" w:rsidP="00596959">
      <w:pPr>
        <w:tabs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6"/>
          <w:lang w:val="it-IT"/>
        </w:rPr>
      </w:pPr>
      <w:r>
        <w:rPr>
          <w:rFonts w:ascii="Arial" w:hAnsi="Arial" w:cs="Arial"/>
          <w:bCs/>
          <w:sz w:val="18"/>
          <w:szCs w:val="16"/>
          <w:lang w:val="it-IT"/>
        </w:rPr>
        <w:t>Burcu ATASOY</w:t>
      </w:r>
      <w:r w:rsidRPr="00BD64DB">
        <w:rPr>
          <w:rFonts w:ascii="Arial" w:hAnsi="Arial" w:cs="Arial"/>
          <w:bCs/>
          <w:sz w:val="18"/>
          <w:szCs w:val="16"/>
          <w:lang w:val="it-IT"/>
        </w:rPr>
        <w:t xml:space="preserve"> -</w:t>
      </w:r>
      <w:r>
        <w:rPr>
          <w:rFonts w:ascii="Arial" w:hAnsi="Arial" w:cs="Arial"/>
          <w:bCs/>
          <w:sz w:val="18"/>
          <w:szCs w:val="16"/>
          <w:lang w:val="it-IT"/>
        </w:rPr>
        <w:t xml:space="preserve"> </w:t>
      </w:r>
      <w:r w:rsidRPr="00BD64DB">
        <w:rPr>
          <w:rFonts w:ascii="Arial" w:hAnsi="Arial" w:cs="Arial"/>
          <w:bCs/>
          <w:sz w:val="18"/>
          <w:szCs w:val="16"/>
          <w:lang w:val="it-IT"/>
        </w:rPr>
        <w:t>T. 0</w:t>
      </w:r>
      <w:r>
        <w:rPr>
          <w:rFonts w:ascii="Arial" w:hAnsi="Arial" w:cs="Arial"/>
          <w:bCs/>
          <w:sz w:val="18"/>
          <w:szCs w:val="16"/>
          <w:lang w:val="it-IT"/>
        </w:rPr>
        <w:t>532 664 8691</w:t>
      </w:r>
      <w:r w:rsidRPr="00BD64DB">
        <w:rPr>
          <w:rFonts w:ascii="Arial" w:hAnsi="Arial" w:cs="Arial"/>
          <w:bCs/>
          <w:sz w:val="18"/>
          <w:szCs w:val="16"/>
          <w:lang w:val="it-IT"/>
        </w:rPr>
        <w:t xml:space="preserve"> </w:t>
      </w:r>
      <w:r>
        <w:rPr>
          <w:rFonts w:ascii="Arial" w:hAnsi="Arial" w:cs="Arial"/>
          <w:bCs/>
          <w:sz w:val="18"/>
          <w:szCs w:val="16"/>
          <w:lang w:val="it-IT"/>
        </w:rPr>
        <w:t xml:space="preserve"> </w:t>
      </w:r>
      <w:hyperlink r:id="rId10" w:history="1">
        <w:r w:rsidRPr="00093C2E">
          <w:rPr>
            <w:rStyle w:val="Hyperlink"/>
            <w:rFonts w:ascii="Arial" w:hAnsi="Arial" w:cs="Arial"/>
            <w:bCs/>
            <w:sz w:val="18"/>
            <w:szCs w:val="16"/>
            <w:lang w:val="it-IT"/>
          </w:rPr>
          <w:t>burcu@ifmmedya.com</w:t>
        </w:r>
      </w:hyperlink>
    </w:p>
    <w:p w14:paraId="1F28278E" w14:textId="77777777" w:rsidR="00596959" w:rsidRDefault="00596959" w:rsidP="00596959">
      <w:pPr>
        <w:tabs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6"/>
          <w:lang w:val="it-IT"/>
        </w:rPr>
      </w:pPr>
    </w:p>
    <w:p w14:paraId="6282235D" w14:textId="77777777" w:rsidR="00596959" w:rsidRPr="00BD64DB" w:rsidRDefault="00596959" w:rsidP="00596959">
      <w:pPr>
        <w:ind w:left="-142"/>
        <w:jc w:val="both"/>
        <w:rPr>
          <w:rFonts w:ascii="Arial" w:hAnsi="Arial" w:cs="Arial"/>
          <w:bCs/>
          <w:sz w:val="18"/>
          <w:szCs w:val="16"/>
          <w:lang w:val="it-IT"/>
        </w:rPr>
      </w:pPr>
    </w:p>
    <w:tbl>
      <w:tblPr>
        <w:tblW w:w="8966" w:type="dxa"/>
        <w:jc w:val="center"/>
        <w:tblInd w:w="-12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6"/>
      </w:tblGrid>
      <w:tr w:rsidR="00596959" w:rsidRPr="00BD64DB" w14:paraId="0741353F" w14:textId="77777777" w:rsidTr="00BE4633">
        <w:trPr>
          <w:trHeight w:val="229"/>
          <w:jc w:val="center"/>
        </w:trPr>
        <w:tc>
          <w:tcPr>
            <w:tcW w:w="8966" w:type="dxa"/>
            <w:shd w:val="clear" w:color="auto" w:fill="E9EDF4"/>
          </w:tcPr>
          <w:p w14:paraId="35938A24" w14:textId="77777777" w:rsidR="00596959" w:rsidRDefault="00596959" w:rsidP="00D33890">
            <w:pPr>
              <w:spacing w:line="240" w:lineRule="atLeast"/>
              <w:ind w:left="291" w:right="17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78275B5F" w14:textId="77777777" w:rsidR="00596959" w:rsidRPr="00664683" w:rsidRDefault="00596959" w:rsidP="00D33890">
            <w:pPr>
              <w:spacing w:line="240" w:lineRule="atLeast"/>
              <w:ind w:left="291" w:right="31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lastRenderedPageBreak/>
              <w:t>Coface Hakkında</w:t>
            </w:r>
          </w:p>
          <w:p w14:paraId="18E9329E" w14:textId="77777777" w:rsidR="00596959" w:rsidRDefault="00596959" w:rsidP="00D33890">
            <w:pPr>
              <w:pStyle w:val="NoSpacing"/>
              <w:ind w:left="291" w:righ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kredi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sigortası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alanında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dünyadaki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yaygın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şirket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Grubu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firmalara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hem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iç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pazar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hem de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ihracat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müşterilerinden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alacaklarının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ödenmeme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temerrüt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riskine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karşı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küresel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çözümler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sunmaktadır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Grup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yılında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4440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çalışanının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desteği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1.440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milyar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€’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luk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konsolide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ciro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açıklamıştır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Doğrudan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veya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dolaylı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97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ülkede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faaliyet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gösteren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Grup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, 200’den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fazla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ülkedeki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37.000’in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şirketin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ticaretini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güvence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altına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almaktadır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şirketlerin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ödeme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davranışları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hakkındaki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bilgi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birikimine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müşterilerin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borçluların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yakınında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konumlanan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350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risk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değerlendirme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uzmanının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uzmanlık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birikimine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dayalı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her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üç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ayda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ülkeye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yönelik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ülke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risk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değerlendirm</w:t>
            </w:r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leri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yayınlamaktadır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547887A" w14:textId="77777777" w:rsidR="00596959" w:rsidRDefault="00596959" w:rsidP="00D33890">
            <w:pPr>
              <w:pStyle w:val="NoSpacing"/>
              <w:ind w:left="291" w:righ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4B892F" w14:textId="77777777" w:rsidR="00596959" w:rsidRPr="004C1AA1" w:rsidRDefault="00596959" w:rsidP="00D33890">
            <w:pPr>
              <w:pStyle w:val="NoSpacing"/>
              <w:ind w:left="291" w:righ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Fransa’da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Fransız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Hükümeti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adına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ihracat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kamu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garantilerini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yönetmektedir</w:t>
            </w:r>
            <w:proofErr w:type="spellEnd"/>
            <w:r w:rsidRPr="004C1A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0DABA3F" w14:textId="77777777" w:rsidR="00596959" w:rsidRPr="004C1AA1" w:rsidRDefault="00596959" w:rsidP="00D33890">
            <w:pPr>
              <w:pStyle w:val="NoSpacing"/>
              <w:ind w:left="291" w:righ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7EB7D" w14:textId="77777777" w:rsidR="00596959" w:rsidRDefault="006C6646" w:rsidP="00D33890">
            <w:pPr>
              <w:spacing w:line="240" w:lineRule="atLeast"/>
              <w:ind w:left="291" w:right="311"/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hyperlink r:id="rId11" w:history="1">
              <w:r w:rsidR="00596959" w:rsidRPr="00093C2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/>
                </w:rPr>
                <w:t>www.coface.com</w:t>
              </w:r>
            </w:hyperlink>
            <w:r w:rsidR="00596959"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/>
              </w:rPr>
              <w:t>.tr</w:t>
            </w:r>
          </w:p>
          <w:p w14:paraId="7081E3C3" w14:textId="77777777" w:rsidR="00596959" w:rsidRPr="00664683" w:rsidRDefault="00596959" w:rsidP="00D33890">
            <w:pPr>
              <w:spacing w:line="240" w:lineRule="atLeast"/>
              <w:ind w:left="291" w:right="311"/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BA46F40" wp14:editId="1E4CE163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90805</wp:posOffset>
                  </wp:positionV>
                  <wp:extent cx="519430" cy="514350"/>
                  <wp:effectExtent l="0" t="0" r="0" b="0"/>
                  <wp:wrapNone/>
                  <wp:docPr id="3" name="Immagine 3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0BA960" w14:textId="77777777" w:rsidR="00596959" w:rsidRPr="00664683" w:rsidRDefault="00596959" w:rsidP="00D33890">
            <w:pPr>
              <w:spacing w:line="240" w:lineRule="atLeast"/>
              <w:ind w:left="291" w:right="311"/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14:paraId="546D9354" w14:textId="77777777" w:rsidR="00596959" w:rsidRPr="004C1AA1" w:rsidRDefault="00596959" w:rsidP="00D33890">
            <w:pPr>
              <w:pStyle w:val="NoSpacing"/>
              <w:ind w:left="291" w:right="311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64683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                          </w:t>
            </w:r>
            <w:proofErr w:type="spellStart"/>
            <w:r w:rsidRPr="004C1AA1">
              <w:rPr>
                <w:rFonts w:ascii="Arial" w:hAnsi="Arial" w:cs="Arial"/>
                <w:sz w:val="18"/>
                <w:szCs w:val="18"/>
                <w:lang w:val="en-US" w:eastAsia="en-US"/>
              </w:rPr>
              <w:t>Coface</w:t>
            </w:r>
            <w:proofErr w:type="spellEnd"/>
            <w:r w:rsidRPr="004C1AA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SA. is listed on Euronext Paris – Compartment A</w:t>
            </w:r>
          </w:p>
          <w:p w14:paraId="0AB9D3FD" w14:textId="77777777" w:rsidR="00596959" w:rsidRPr="004C1AA1" w:rsidRDefault="00596959" w:rsidP="00D33890">
            <w:pPr>
              <w:pStyle w:val="NoSpacing"/>
              <w:ind w:left="291" w:right="311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</w:t>
            </w:r>
            <w:r w:rsidRPr="004C1AA1">
              <w:rPr>
                <w:rFonts w:ascii="Arial" w:hAnsi="Arial" w:cs="Arial"/>
                <w:sz w:val="18"/>
                <w:szCs w:val="18"/>
                <w:lang w:val="en-US" w:eastAsia="en-US"/>
              </w:rPr>
              <w:t>ISIN: FR0010667147 / Ticker: COFA</w:t>
            </w:r>
          </w:p>
          <w:p w14:paraId="1606358E" w14:textId="77777777" w:rsidR="00596959" w:rsidRPr="00664683" w:rsidRDefault="00596959" w:rsidP="00D33890">
            <w:pPr>
              <w:ind w:left="291" w:right="311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val="it-IT"/>
              </w:rPr>
            </w:pPr>
          </w:p>
        </w:tc>
      </w:tr>
    </w:tbl>
    <w:p w14:paraId="1DFBA202" w14:textId="77777777" w:rsidR="00596959" w:rsidRPr="009670A5" w:rsidRDefault="00596959" w:rsidP="00D05E0E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</w:p>
    <w:p w14:paraId="1E38B6AD" w14:textId="77777777" w:rsidR="003D72B6" w:rsidRPr="009670A5" w:rsidRDefault="003D72B6" w:rsidP="00983D5A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/>
        </w:rPr>
      </w:pPr>
    </w:p>
    <w:p w14:paraId="293CA3A3" w14:textId="77777777" w:rsidR="00287500" w:rsidRPr="006767E5" w:rsidRDefault="00287500" w:rsidP="00983D5A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sectPr w:rsidR="00287500" w:rsidRPr="006767E5" w:rsidSect="006E5807">
      <w:headerReference w:type="default" r:id="rId13"/>
      <w:headerReference w:type="first" r:id="rId14"/>
      <w:footerReference w:type="first" r:id="rId15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56039" w14:textId="77777777" w:rsidR="00937B6D" w:rsidRDefault="00937B6D" w:rsidP="00D67F85">
      <w:r>
        <w:separator/>
      </w:r>
    </w:p>
  </w:endnote>
  <w:endnote w:type="continuationSeparator" w:id="0">
    <w:p w14:paraId="13BEC5F7" w14:textId="77777777" w:rsidR="00937B6D" w:rsidRDefault="00937B6D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7BB1" w14:textId="77777777" w:rsidR="00003D2C" w:rsidRPr="000F6882" w:rsidRDefault="00003D2C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>MACROBUTTON Remplir POSTAL ADDRESS</w:instrText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rFonts w:hint="eastAsia"/>
        <w:color w:val="17274B"/>
        <w:sz w:val="14"/>
        <w:szCs w:val="14"/>
      </w:rPr>
      <w:fldChar w:fldCharType="end"/>
    </w:r>
  </w:p>
  <w:p w14:paraId="407CDE10" w14:textId="77777777" w:rsidR="00003D2C" w:rsidRPr="000F6882" w:rsidRDefault="00003D2C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12 COURS MICHELET - LA DÉFENSE 10 - 92800 PUTEAUX - FRANCE</w:t>
    </w:r>
  </w:p>
  <w:p w14:paraId="115FDE77" w14:textId="77777777" w:rsidR="00003D2C" w:rsidRPr="000F6882" w:rsidRDefault="00003D2C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 xml:space="preserve">T. </w:t>
    </w:r>
    <w:r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 xml:space="preserve">MACROBUTTON Remplir +33 (0)1 00 00 00 00 </w:instrText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- M. </w:t>
    </w:r>
    <w:r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>MACROBUTTON Remplir +33 (0)6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 - F. </w:t>
    </w:r>
    <w:r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>MACROBUTTON Remplir +33 (0)1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rFonts w:hint="eastAsia"/>
        <w:color w:val="17274B"/>
        <w:sz w:val="14"/>
        <w:szCs w:val="14"/>
      </w:rPr>
      <w:fldChar w:fldCharType="end"/>
    </w:r>
  </w:p>
  <w:p w14:paraId="25E62CC3" w14:textId="77777777" w:rsidR="00003D2C" w:rsidRPr="000F6882" w:rsidRDefault="00003D2C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www.coface.fr</w:t>
    </w:r>
  </w:p>
  <w:p w14:paraId="0A4FEACB" w14:textId="77777777" w:rsidR="00003D2C" w:rsidRPr="000F6882" w:rsidRDefault="00003D2C" w:rsidP="00422B4C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 xml:space="preserve">COMPAGNIE FRANÇAISE D’ASSURANCE POUR LE COMMERCE EXTÉRIEUR </w:t>
    </w:r>
  </w:p>
  <w:p w14:paraId="36EF18D5" w14:textId="77777777" w:rsidR="00003D2C" w:rsidRPr="000F6882" w:rsidRDefault="00003D2C" w:rsidP="000F6882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>S.A. AU CAPITAL DE 136.950.607,80 EUROS R.C.S. NANTERRE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12E6" w14:textId="77777777" w:rsidR="00937B6D" w:rsidRDefault="00937B6D" w:rsidP="00D67F85">
      <w:r>
        <w:separator/>
      </w:r>
    </w:p>
  </w:footnote>
  <w:footnote w:type="continuationSeparator" w:id="0">
    <w:p w14:paraId="59456241" w14:textId="77777777" w:rsidR="00937B6D" w:rsidRDefault="00937B6D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EF17" w14:textId="77777777" w:rsidR="00003D2C" w:rsidRDefault="00003D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57655301" wp14:editId="652E23E7">
          <wp:simplePos x="0" y="0"/>
          <wp:positionH relativeFrom="column">
            <wp:posOffset>-800100</wp:posOffset>
          </wp:positionH>
          <wp:positionV relativeFrom="page">
            <wp:posOffset>585470</wp:posOffset>
          </wp:positionV>
          <wp:extent cx="6104255" cy="1316355"/>
          <wp:effectExtent l="0" t="0" r="0" b="4445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255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36244D41" wp14:editId="29B48584">
              <wp:simplePos x="0" y="0"/>
              <wp:positionH relativeFrom="column">
                <wp:posOffset>-342266</wp:posOffset>
              </wp:positionH>
              <wp:positionV relativeFrom="page">
                <wp:posOffset>1518920</wp:posOffset>
              </wp:positionV>
              <wp:extent cx="6285865" cy="3302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586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33438" w14:textId="688054D8" w:rsidR="00003D2C" w:rsidRPr="00BE7353" w:rsidRDefault="00003D2C" w:rsidP="00251650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</w:pPr>
                          <w:r w:rsidRPr="00BE7353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  <w:t>BASIN B</w:t>
                          </w:r>
                          <w:r w:rsidR="004949E3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  <w:t>ÜLTENİ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244D4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26.95pt;margin-top:119.6pt;width:494.95pt;height:26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" stroked="f">
              <v:fill opacity="0"/>
              <v:textbox inset="0,0,0,0">
                <w:txbxContent>
                  <w:p w14:paraId="7D633438" w14:textId="688054D8" w:rsidR="00003D2C" w:rsidRPr="00BE7353" w:rsidRDefault="00003D2C" w:rsidP="00251650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</w:pPr>
                    <w:r w:rsidRPr="00BE7353"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  <w:t>BASIN B</w:t>
                    </w:r>
                    <w:r w:rsidR="004949E3"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  <w:t>ÜLTENİ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0D72D6B3" wp14:editId="09A337EB">
              <wp:simplePos x="0" y="0"/>
              <wp:positionH relativeFrom="page">
                <wp:posOffset>107950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5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E32A9C" id="Connecteur droit 2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41DC" w14:textId="77777777" w:rsidR="00003D2C" w:rsidRDefault="00003D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5A4F043" wp14:editId="33A21587">
          <wp:simplePos x="0" y="0"/>
          <wp:positionH relativeFrom="column">
            <wp:posOffset>1450340</wp:posOffset>
          </wp:positionH>
          <wp:positionV relativeFrom="page">
            <wp:posOffset>617220</wp:posOffset>
          </wp:positionV>
          <wp:extent cx="1907540" cy="463550"/>
          <wp:effectExtent l="0" t="0" r="0" b="0"/>
          <wp:wrapNone/>
          <wp:docPr id="2" name="Image 2" descr="Description : R:Travail:Coface:x:T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R:Travail:Coface:x:TD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C20B80D" wp14:editId="3E41CD06">
              <wp:simplePos x="0" y="0"/>
              <wp:positionH relativeFrom="page">
                <wp:posOffset>107950</wp:posOffset>
              </wp:positionH>
              <wp:positionV relativeFrom="page">
                <wp:posOffset>3562349</wp:posOffset>
              </wp:positionV>
              <wp:extent cx="107950" cy="0"/>
              <wp:effectExtent l="0" t="0" r="25400" b="19050"/>
              <wp:wrapNone/>
              <wp:docPr id="29" name="Connecteur droi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60BB2D" id="Connecteur droit 2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8.5pt,280.5pt" to="17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52A2416"/>
    <w:multiLevelType w:val="hybridMultilevel"/>
    <w:tmpl w:val="16FA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4"/>
    <w:rsid w:val="00001982"/>
    <w:rsid w:val="00003D2C"/>
    <w:rsid w:val="0001223B"/>
    <w:rsid w:val="00022346"/>
    <w:rsid w:val="0002548E"/>
    <w:rsid w:val="00043252"/>
    <w:rsid w:val="000447DD"/>
    <w:rsid w:val="00074E57"/>
    <w:rsid w:val="00094A54"/>
    <w:rsid w:val="000978F7"/>
    <w:rsid w:val="000A4BB0"/>
    <w:rsid w:val="000C149B"/>
    <w:rsid w:val="000C6E54"/>
    <w:rsid w:val="000F6882"/>
    <w:rsid w:val="000F7670"/>
    <w:rsid w:val="00106157"/>
    <w:rsid w:val="00133ACB"/>
    <w:rsid w:val="00136FFE"/>
    <w:rsid w:val="00137F76"/>
    <w:rsid w:val="00147F22"/>
    <w:rsid w:val="00153ADD"/>
    <w:rsid w:val="001608BD"/>
    <w:rsid w:val="0017404A"/>
    <w:rsid w:val="00177506"/>
    <w:rsid w:val="00190699"/>
    <w:rsid w:val="00190EFF"/>
    <w:rsid w:val="001B4A7C"/>
    <w:rsid w:val="001B6E5E"/>
    <w:rsid w:val="001D674C"/>
    <w:rsid w:val="001F3B25"/>
    <w:rsid w:val="002202C8"/>
    <w:rsid w:val="0022577A"/>
    <w:rsid w:val="00236E17"/>
    <w:rsid w:val="0024243B"/>
    <w:rsid w:val="00242F2B"/>
    <w:rsid w:val="00251650"/>
    <w:rsid w:val="00287500"/>
    <w:rsid w:val="002A01C6"/>
    <w:rsid w:val="002B1C54"/>
    <w:rsid w:val="002E06AD"/>
    <w:rsid w:val="002E2E86"/>
    <w:rsid w:val="002F2C26"/>
    <w:rsid w:val="00310949"/>
    <w:rsid w:val="00331D0F"/>
    <w:rsid w:val="00331F98"/>
    <w:rsid w:val="00382928"/>
    <w:rsid w:val="00382E14"/>
    <w:rsid w:val="00387DB2"/>
    <w:rsid w:val="00397109"/>
    <w:rsid w:val="003B6763"/>
    <w:rsid w:val="003C6782"/>
    <w:rsid w:val="003D3A0F"/>
    <w:rsid w:val="003D5C5D"/>
    <w:rsid w:val="003D72B6"/>
    <w:rsid w:val="003E3FB6"/>
    <w:rsid w:val="003E3FF5"/>
    <w:rsid w:val="003F600A"/>
    <w:rsid w:val="00422B4C"/>
    <w:rsid w:val="00436791"/>
    <w:rsid w:val="0045184A"/>
    <w:rsid w:val="004812A3"/>
    <w:rsid w:val="00487AC9"/>
    <w:rsid w:val="00487DCD"/>
    <w:rsid w:val="004949E3"/>
    <w:rsid w:val="00496A06"/>
    <w:rsid w:val="004A6F31"/>
    <w:rsid w:val="004B1A5D"/>
    <w:rsid w:val="004B6507"/>
    <w:rsid w:val="004E7145"/>
    <w:rsid w:val="004F16D7"/>
    <w:rsid w:val="0050239E"/>
    <w:rsid w:val="0050679C"/>
    <w:rsid w:val="00507CD3"/>
    <w:rsid w:val="00521180"/>
    <w:rsid w:val="005446D6"/>
    <w:rsid w:val="00562899"/>
    <w:rsid w:val="00596959"/>
    <w:rsid w:val="005B1B43"/>
    <w:rsid w:val="005B2523"/>
    <w:rsid w:val="005D2D48"/>
    <w:rsid w:val="00614EC0"/>
    <w:rsid w:val="00617F8A"/>
    <w:rsid w:val="00627624"/>
    <w:rsid w:val="006403C4"/>
    <w:rsid w:val="00663D6F"/>
    <w:rsid w:val="006767E5"/>
    <w:rsid w:val="006A5A94"/>
    <w:rsid w:val="006A6176"/>
    <w:rsid w:val="006B4CA7"/>
    <w:rsid w:val="006C6492"/>
    <w:rsid w:val="006C6646"/>
    <w:rsid w:val="006E54BC"/>
    <w:rsid w:val="006E5807"/>
    <w:rsid w:val="006F24EB"/>
    <w:rsid w:val="007210FE"/>
    <w:rsid w:val="00742B70"/>
    <w:rsid w:val="00752C30"/>
    <w:rsid w:val="0076083F"/>
    <w:rsid w:val="0076637C"/>
    <w:rsid w:val="007967DE"/>
    <w:rsid w:val="007A3984"/>
    <w:rsid w:val="007A4280"/>
    <w:rsid w:val="007C38B3"/>
    <w:rsid w:val="007C39A7"/>
    <w:rsid w:val="007C4C65"/>
    <w:rsid w:val="007C5CB5"/>
    <w:rsid w:val="007E23BB"/>
    <w:rsid w:val="007F12B3"/>
    <w:rsid w:val="0085114E"/>
    <w:rsid w:val="00851A10"/>
    <w:rsid w:val="00870C94"/>
    <w:rsid w:val="0087456A"/>
    <w:rsid w:val="008A1C7F"/>
    <w:rsid w:val="008A3C03"/>
    <w:rsid w:val="008A4881"/>
    <w:rsid w:val="008B7ACD"/>
    <w:rsid w:val="008C3E6C"/>
    <w:rsid w:val="008E112E"/>
    <w:rsid w:val="00911CEF"/>
    <w:rsid w:val="00912898"/>
    <w:rsid w:val="0091611F"/>
    <w:rsid w:val="00937B6D"/>
    <w:rsid w:val="00953640"/>
    <w:rsid w:val="00965E1F"/>
    <w:rsid w:val="009670A5"/>
    <w:rsid w:val="0097011B"/>
    <w:rsid w:val="0097251B"/>
    <w:rsid w:val="00974368"/>
    <w:rsid w:val="009745C1"/>
    <w:rsid w:val="00975BFC"/>
    <w:rsid w:val="00976120"/>
    <w:rsid w:val="00976400"/>
    <w:rsid w:val="00982362"/>
    <w:rsid w:val="00983D5A"/>
    <w:rsid w:val="009A0080"/>
    <w:rsid w:val="009A440C"/>
    <w:rsid w:val="009A4ED6"/>
    <w:rsid w:val="009B28CD"/>
    <w:rsid w:val="009C6AD4"/>
    <w:rsid w:val="009C6B2F"/>
    <w:rsid w:val="00A25035"/>
    <w:rsid w:val="00A31F26"/>
    <w:rsid w:val="00A376B4"/>
    <w:rsid w:val="00A5010B"/>
    <w:rsid w:val="00A52C5C"/>
    <w:rsid w:val="00A85017"/>
    <w:rsid w:val="00A876FD"/>
    <w:rsid w:val="00A920EE"/>
    <w:rsid w:val="00AA2533"/>
    <w:rsid w:val="00AB0DF2"/>
    <w:rsid w:val="00AB3A55"/>
    <w:rsid w:val="00AD4A68"/>
    <w:rsid w:val="00B02890"/>
    <w:rsid w:val="00B05C7E"/>
    <w:rsid w:val="00B05E53"/>
    <w:rsid w:val="00B25C4C"/>
    <w:rsid w:val="00B4283B"/>
    <w:rsid w:val="00B64B26"/>
    <w:rsid w:val="00B6519A"/>
    <w:rsid w:val="00B70EAC"/>
    <w:rsid w:val="00B81D39"/>
    <w:rsid w:val="00B87EBF"/>
    <w:rsid w:val="00BA207A"/>
    <w:rsid w:val="00BC3E8E"/>
    <w:rsid w:val="00BC4E3D"/>
    <w:rsid w:val="00BC5637"/>
    <w:rsid w:val="00BD5ED4"/>
    <w:rsid w:val="00BE0EE5"/>
    <w:rsid w:val="00BE11A1"/>
    <w:rsid w:val="00BE2609"/>
    <w:rsid w:val="00BE36E2"/>
    <w:rsid w:val="00BE4633"/>
    <w:rsid w:val="00BE7353"/>
    <w:rsid w:val="00BF6EF9"/>
    <w:rsid w:val="00BF7BF0"/>
    <w:rsid w:val="00C03E36"/>
    <w:rsid w:val="00C0461B"/>
    <w:rsid w:val="00C062B9"/>
    <w:rsid w:val="00C10258"/>
    <w:rsid w:val="00C17C58"/>
    <w:rsid w:val="00C25886"/>
    <w:rsid w:val="00C43A3B"/>
    <w:rsid w:val="00C53FE0"/>
    <w:rsid w:val="00C54FFB"/>
    <w:rsid w:val="00C66954"/>
    <w:rsid w:val="00CD57F8"/>
    <w:rsid w:val="00CD76B8"/>
    <w:rsid w:val="00CE5172"/>
    <w:rsid w:val="00D01ED8"/>
    <w:rsid w:val="00D05E0E"/>
    <w:rsid w:val="00D34995"/>
    <w:rsid w:val="00D36C37"/>
    <w:rsid w:val="00D47637"/>
    <w:rsid w:val="00D47926"/>
    <w:rsid w:val="00D6505A"/>
    <w:rsid w:val="00D6570A"/>
    <w:rsid w:val="00D65A0C"/>
    <w:rsid w:val="00D67F85"/>
    <w:rsid w:val="00D71E02"/>
    <w:rsid w:val="00D73F7D"/>
    <w:rsid w:val="00D7767E"/>
    <w:rsid w:val="00D821C1"/>
    <w:rsid w:val="00D82CF3"/>
    <w:rsid w:val="00D922F7"/>
    <w:rsid w:val="00D92478"/>
    <w:rsid w:val="00D939D3"/>
    <w:rsid w:val="00D94172"/>
    <w:rsid w:val="00DB2339"/>
    <w:rsid w:val="00DB631B"/>
    <w:rsid w:val="00DB6BBF"/>
    <w:rsid w:val="00DC4AF7"/>
    <w:rsid w:val="00DE4979"/>
    <w:rsid w:val="00E015B2"/>
    <w:rsid w:val="00E1653F"/>
    <w:rsid w:val="00E178A9"/>
    <w:rsid w:val="00E25A47"/>
    <w:rsid w:val="00E31709"/>
    <w:rsid w:val="00E61A57"/>
    <w:rsid w:val="00E70F80"/>
    <w:rsid w:val="00E94812"/>
    <w:rsid w:val="00EB5BF2"/>
    <w:rsid w:val="00ED7EED"/>
    <w:rsid w:val="00EE62E1"/>
    <w:rsid w:val="00EF0793"/>
    <w:rsid w:val="00EF1966"/>
    <w:rsid w:val="00F16898"/>
    <w:rsid w:val="00F36B5B"/>
    <w:rsid w:val="00F37CBF"/>
    <w:rsid w:val="00F431A0"/>
    <w:rsid w:val="00F45D1A"/>
    <w:rsid w:val="00F5605C"/>
    <w:rsid w:val="00F90EA3"/>
    <w:rsid w:val="00FA4FA7"/>
    <w:rsid w:val="00FB3553"/>
    <w:rsid w:val="00FC6541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D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</w:style>
  <w:style w:type="paragraph" w:styleId="Footer">
    <w:name w:val="footer"/>
    <w:basedOn w:val="Normal"/>
    <w:link w:val="Foot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</w:style>
  <w:style w:type="paragraph" w:styleId="BalloonText">
    <w:name w:val="Balloon Text"/>
    <w:basedOn w:val="Normal"/>
    <w:link w:val="BalloonTextChar"/>
    <w:uiPriority w:val="99"/>
    <w:semiHidden/>
    <w:unhideWhenUsed/>
    <w:rsid w:val="00D67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rsid w:val="00C046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461B"/>
    <w:pPr>
      <w:spacing w:line="24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ntact0">
    <w:name w:val="Texte contact"/>
    <w:basedOn w:val="Normal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eastAsia="Times New Roman" w:hAnsi="Arial"/>
      <w:sz w:val="18"/>
      <w:szCs w:val="20"/>
    </w:rPr>
  </w:style>
  <w:style w:type="paragraph" w:customStyle="1" w:styleId="Titrecontact">
    <w:name w:val="Titre contact"/>
    <w:basedOn w:val="Textecontact0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1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1A1"/>
  </w:style>
  <w:style w:type="character" w:styleId="FootnoteReference">
    <w:name w:val="footnote reference"/>
    <w:basedOn w:val="DefaultParagraphFont"/>
    <w:uiPriority w:val="99"/>
    <w:semiHidden/>
    <w:unhideWhenUsed/>
    <w:rsid w:val="00BE11A1"/>
    <w:rPr>
      <w:vertAlign w:val="superscript"/>
    </w:rPr>
  </w:style>
  <w:style w:type="character" w:customStyle="1" w:styleId="PieddepageCar1">
    <w:name w:val="Pied de page Car1"/>
    <w:basedOn w:val="DefaultParagraphFont"/>
    <w:uiPriority w:val="99"/>
    <w:rsid w:val="003D72B6"/>
    <w:rPr>
      <w:rFonts w:ascii="Cambria" w:eastAsia="MS Mincho" w:hAnsi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6959"/>
    <w:pPr>
      <w:ind w:left="720"/>
      <w:contextualSpacing/>
    </w:pPr>
  </w:style>
  <w:style w:type="paragraph" w:styleId="NoSpacing">
    <w:name w:val="No Spacing"/>
    <w:uiPriority w:val="1"/>
    <w:qFormat/>
    <w:rsid w:val="00596959"/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</w:style>
  <w:style w:type="paragraph" w:styleId="Footer">
    <w:name w:val="footer"/>
    <w:basedOn w:val="Normal"/>
    <w:link w:val="Foot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</w:style>
  <w:style w:type="paragraph" w:styleId="BalloonText">
    <w:name w:val="Balloon Text"/>
    <w:basedOn w:val="Normal"/>
    <w:link w:val="BalloonTextChar"/>
    <w:uiPriority w:val="99"/>
    <w:semiHidden/>
    <w:unhideWhenUsed/>
    <w:rsid w:val="00D67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rsid w:val="00C046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461B"/>
    <w:pPr>
      <w:spacing w:line="24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ntact0">
    <w:name w:val="Texte contact"/>
    <w:basedOn w:val="Normal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eastAsia="Times New Roman" w:hAnsi="Arial"/>
      <w:sz w:val="18"/>
      <w:szCs w:val="20"/>
    </w:rPr>
  </w:style>
  <w:style w:type="paragraph" w:customStyle="1" w:styleId="Titrecontact">
    <w:name w:val="Titre contact"/>
    <w:basedOn w:val="Textecontact0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1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1A1"/>
  </w:style>
  <w:style w:type="character" w:styleId="FootnoteReference">
    <w:name w:val="footnote reference"/>
    <w:basedOn w:val="DefaultParagraphFont"/>
    <w:uiPriority w:val="99"/>
    <w:semiHidden/>
    <w:unhideWhenUsed/>
    <w:rsid w:val="00BE11A1"/>
    <w:rPr>
      <w:vertAlign w:val="superscript"/>
    </w:rPr>
  </w:style>
  <w:style w:type="character" w:customStyle="1" w:styleId="PieddepageCar1">
    <w:name w:val="Pied de page Car1"/>
    <w:basedOn w:val="DefaultParagraphFont"/>
    <w:uiPriority w:val="99"/>
    <w:rsid w:val="003D72B6"/>
    <w:rPr>
      <w:rFonts w:ascii="Cambria" w:eastAsia="MS Mincho" w:hAnsi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6959"/>
    <w:pPr>
      <w:ind w:left="720"/>
      <w:contextualSpacing/>
    </w:pPr>
  </w:style>
  <w:style w:type="paragraph" w:styleId="NoSpacing">
    <w:name w:val="No Spacing"/>
    <w:uiPriority w:val="1"/>
    <w:qFormat/>
    <w:rsid w:val="00596959"/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fac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urcu@ifmmedy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lin@ifmmedy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9F0F-5911-4F64-854F-3782159F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COFACE</Company>
  <LinksUpToDate>false</LinksUpToDate>
  <CharactersWithSpaces>6626</CharactersWithSpaces>
  <SharedDoc>false</SharedDoc>
  <HLinks>
    <vt:vector size="6" baseType="variant"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http://www.coface.fr/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KRELLENSTEIN Maria</dc:creator>
  <cp:lastModifiedBy>Leyla ZERGER</cp:lastModifiedBy>
  <cp:revision>2</cp:revision>
  <cp:lastPrinted>2014-12-11T17:12:00Z</cp:lastPrinted>
  <dcterms:created xsi:type="dcterms:W3CDTF">2014-12-19T16:24:00Z</dcterms:created>
  <dcterms:modified xsi:type="dcterms:W3CDTF">2014-12-19T16:24:00Z</dcterms:modified>
</cp:coreProperties>
</file>