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7D" w:rsidRPr="002C2518" w:rsidRDefault="00D8022F" w:rsidP="006A4B92">
      <w:pPr>
        <w:pStyle w:val="Body1"/>
        <w:suppressAutoHyphens/>
        <w:spacing w:line="270" w:lineRule="exact"/>
        <w:jc w:val="both"/>
        <w:rPr>
          <w:rFonts w:ascii="Arial" w:hAnsi="Arial" w:cs="Arial"/>
          <w:sz w:val="20"/>
          <w:lang w:val="tr-TR"/>
        </w:rPr>
      </w:pPr>
      <w:r>
        <w:rPr>
          <w:rFonts w:ascii="Arial" w:hAnsi="Arial" w:cs="Arial"/>
          <w:sz w:val="20"/>
          <w:lang w:val="tr-TR"/>
        </w:rPr>
        <w:t>H</w:t>
      </w:r>
      <w:r w:rsidR="001854D1">
        <w:rPr>
          <w:rFonts w:ascii="Arial" w:hAnsi="Arial" w:cs="Arial"/>
          <w:sz w:val="20"/>
          <w:lang w:val="tr-TR"/>
        </w:rPr>
        <w:t>a</w:t>
      </w:r>
      <w:r>
        <w:rPr>
          <w:rFonts w:ascii="Arial" w:hAnsi="Arial" w:cs="Arial"/>
          <w:sz w:val="20"/>
          <w:lang w:val="tr-TR"/>
        </w:rPr>
        <w:t>ziran</w:t>
      </w:r>
      <w:r w:rsidR="00CB2AAE" w:rsidRPr="002C2518">
        <w:rPr>
          <w:rFonts w:ascii="Arial" w:hAnsi="Arial" w:cs="Arial"/>
          <w:sz w:val="20"/>
          <w:lang w:val="tr-TR"/>
        </w:rPr>
        <w:t xml:space="preserve"> 2015</w:t>
      </w:r>
    </w:p>
    <w:p w:rsidR="002B4060" w:rsidRPr="002C2518" w:rsidRDefault="002B4060" w:rsidP="006A4B92">
      <w:pPr>
        <w:suppressAutoHyphens/>
        <w:spacing w:line="270" w:lineRule="exact"/>
        <w:jc w:val="both"/>
        <w:rPr>
          <w:rFonts w:ascii="Arial" w:hAnsi="Arial" w:cs="Arial"/>
          <w:b/>
          <w:bCs/>
          <w:color w:val="000000"/>
        </w:rPr>
      </w:pPr>
    </w:p>
    <w:p w:rsidR="00D90A6C" w:rsidRPr="002C2518" w:rsidRDefault="002B692F" w:rsidP="002B692F">
      <w:pPr>
        <w:suppressAutoHyphens/>
        <w:spacing w:line="270" w:lineRule="exact"/>
        <w:jc w:val="center"/>
        <w:rPr>
          <w:rFonts w:ascii="Arial" w:hAnsi="Arial" w:cs="Arial"/>
          <w:b/>
          <w:bCs/>
          <w:color w:val="000000"/>
        </w:rPr>
      </w:pPr>
      <w:r>
        <w:rPr>
          <w:rFonts w:ascii="Arial" w:hAnsi="Arial" w:cs="Arial"/>
          <w:b/>
          <w:bCs/>
          <w:color w:val="000000"/>
        </w:rPr>
        <w:t>Ü</w:t>
      </w:r>
      <w:r w:rsidR="00DC5BFF">
        <w:rPr>
          <w:rFonts w:ascii="Arial" w:hAnsi="Arial" w:cs="Arial"/>
          <w:b/>
          <w:bCs/>
          <w:color w:val="000000"/>
        </w:rPr>
        <w:t>lke risk değerlendirmeleri</w:t>
      </w:r>
    </w:p>
    <w:p w:rsidR="00D90A6C" w:rsidRPr="002C2518" w:rsidRDefault="00D90A6C" w:rsidP="006A4B92">
      <w:pPr>
        <w:suppressAutoHyphens/>
        <w:spacing w:line="270" w:lineRule="exact"/>
        <w:jc w:val="both"/>
        <w:rPr>
          <w:rFonts w:ascii="Arial" w:hAnsi="Arial" w:cs="Arial"/>
          <w:b/>
          <w:bCs/>
          <w:color w:val="000000"/>
        </w:rPr>
      </w:pPr>
    </w:p>
    <w:p w:rsidR="006A4B92" w:rsidRPr="002C2518" w:rsidRDefault="002B692F" w:rsidP="006A4B92">
      <w:pPr>
        <w:suppressAutoHyphens/>
        <w:spacing w:line="270" w:lineRule="exact"/>
        <w:jc w:val="both"/>
        <w:rPr>
          <w:rFonts w:ascii="Arial" w:hAnsi="Arial" w:cs="Arial"/>
          <w:b/>
          <w:bCs/>
          <w:color w:val="000000"/>
        </w:rPr>
      </w:pPr>
      <w:r>
        <w:rPr>
          <w:rFonts w:ascii="Arial" w:hAnsi="Arial" w:cs="Arial"/>
          <w:b/>
          <w:bCs/>
          <w:color w:val="000000"/>
        </w:rPr>
        <w:t xml:space="preserve">Üç ayda bir güncellenen ülke risk değerlendirmeleri kapsamında </w:t>
      </w:r>
      <w:r w:rsidR="008B60D1">
        <w:rPr>
          <w:rFonts w:ascii="Arial" w:hAnsi="Arial" w:cs="Arial"/>
          <w:b/>
          <w:bCs/>
          <w:color w:val="000000"/>
        </w:rPr>
        <w:t xml:space="preserve">Çin’in notu düşürüldü. Petrol fiyatlarındaki düşüşten </w:t>
      </w:r>
      <w:r w:rsidR="009816A2">
        <w:rPr>
          <w:rFonts w:ascii="Arial" w:hAnsi="Arial" w:cs="Arial"/>
          <w:b/>
          <w:bCs/>
          <w:color w:val="000000"/>
        </w:rPr>
        <w:t xml:space="preserve">etkilenen ekonomiler negatif takibe alındı. </w:t>
      </w:r>
    </w:p>
    <w:p w:rsidR="006A4B92" w:rsidRPr="002C2518" w:rsidRDefault="006A4B92" w:rsidP="006A4B92">
      <w:pPr>
        <w:pStyle w:val="Default"/>
        <w:spacing w:line="270" w:lineRule="exact"/>
        <w:jc w:val="both"/>
        <w:rPr>
          <w:b/>
          <w:bCs/>
          <w:color w:val="auto"/>
          <w:sz w:val="26"/>
          <w:szCs w:val="26"/>
          <w:lang w:val="tr-TR" w:eastAsia="fr-FR"/>
        </w:rPr>
      </w:pPr>
    </w:p>
    <w:p w:rsidR="006A4B92" w:rsidRPr="002C2518" w:rsidRDefault="003B3448" w:rsidP="006A4B92">
      <w:pPr>
        <w:pStyle w:val="Default"/>
        <w:spacing w:line="270" w:lineRule="exact"/>
        <w:jc w:val="both"/>
        <w:rPr>
          <w:b/>
          <w:bCs/>
          <w:sz w:val="22"/>
          <w:szCs w:val="22"/>
          <w:lang w:val="tr-TR" w:eastAsia="fr-FR"/>
        </w:rPr>
      </w:pPr>
      <w:r>
        <w:rPr>
          <w:b/>
          <w:bCs/>
          <w:sz w:val="22"/>
          <w:szCs w:val="22"/>
          <w:lang w:val="tr-TR" w:eastAsia="fr-FR"/>
        </w:rPr>
        <w:t>Coface’</w:t>
      </w:r>
      <w:r w:rsidR="00A07481">
        <w:rPr>
          <w:b/>
          <w:bCs/>
          <w:sz w:val="22"/>
          <w:szCs w:val="22"/>
          <w:lang w:val="tr-TR" w:eastAsia="fr-FR"/>
        </w:rPr>
        <w:t>ın</w:t>
      </w:r>
      <w:r>
        <w:rPr>
          <w:b/>
          <w:bCs/>
          <w:sz w:val="22"/>
          <w:szCs w:val="22"/>
          <w:lang w:val="tr-TR" w:eastAsia="fr-FR"/>
        </w:rPr>
        <w:t xml:space="preserve"> 2015 büyüme tahminlerini % 4 olarak revize ettiği</w:t>
      </w:r>
      <w:r w:rsidR="00FA4FC8">
        <w:rPr>
          <w:b/>
          <w:bCs/>
          <w:sz w:val="22"/>
          <w:szCs w:val="22"/>
          <w:lang w:val="tr-TR" w:eastAsia="fr-FR"/>
        </w:rPr>
        <w:t xml:space="preserve"> </w:t>
      </w:r>
      <w:r w:rsidR="008A3489">
        <w:rPr>
          <w:b/>
          <w:bCs/>
          <w:sz w:val="22"/>
          <w:szCs w:val="22"/>
          <w:lang w:val="tr-TR" w:eastAsia="fr-FR"/>
        </w:rPr>
        <w:t xml:space="preserve">pek çok </w:t>
      </w:r>
      <w:r>
        <w:rPr>
          <w:b/>
          <w:bCs/>
          <w:sz w:val="22"/>
          <w:szCs w:val="22"/>
          <w:lang w:val="tr-TR" w:eastAsia="fr-FR"/>
        </w:rPr>
        <w:t>gelişmekte ol</w:t>
      </w:r>
      <w:r w:rsidR="00124C7D">
        <w:rPr>
          <w:b/>
          <w:bCs/>
          <w:sz w:val="22"/>
          <w:szCs w:val="22"/>
          <w:lang w:val="tr-TR" w:eastAsia="fr-FR"/>
        </w:rPr>
        <w:t>a</w:t>
      </w:r>
      <w:r w:rsidR="008A3489">
        <w:rPr>
          <w:b/>
          <w:bCs/>
          <w:sz w:val="22"/>
          <w:szCs w:val="22"/>
          <w:lang w:val="tr-TR" w:eastAsia="fr-FR"/>
        </w:rPr>
        <w:t>n ülke</w:t>
      </w:r>
      <w:r w:rsidR="002B692F">
        <w:rPr>
          <w:b/>
          <w:bCs/>
          <w:sz w:val="22"/>
          <w:szCs w:val="22"/>
          <w:lang w:val="tr-TR" w:eastAsia="fr-FR"/>
        </w:rPr>
        <w:t>,</w:t>
      </w:r>
      <w:r>
        <w:rPr>
          <w:b/>
          <w:bCs/>
          <w:sz w:val="22"/>
          <w:szCs w:val="22"/>
          <w:lang w:val="tr-TR" w:eastAsia="fr-FR"/>
        </w:rPr>
        <w:t xml:space="preserve"> petrol fiyatlarındaki düşüşten </w:t>
      </w:r>
      <w:r w:rsidR="00A07481">
        <w:rPr>
          <w:b/>
          <w:bCs/>
          <w:sz w:val="22"/>
          <w:szCs w:val="22"/>
          <w:lang w:val="tr-TR" w:eastAsia="fr-FR"/>
        </w:rPr>
        <w:t xml:space="preserve">dolayı </w:t>
      </w:r>
      <w:r w:rsidR="00FA4FC8">
        <w:rPr>
          <w:b/>
          <w:bCs/>
          <w:sz w:val="22"/>
          <w:szCs w:val="22"/>
          <w:lang w:val="tr-TR" w:eastAsia="fr-FR"/>
        </w:rPr>
        <w:t xml:space="preserve">ağır </w:t>
      </w:r>
      <w:r w:rsidR="00950D45">
        <w:rPr>
          <w:b/>
          <w:bCs/>
          <w:sz w:val="22"/>
          <w:szCs w:val="22"/>
          <w:lang w:val="tr-TR" w:eastAsia="fr-FR"/>
        </w:rPr>
        <w:t xml:space="preserve">bir </w:t>
      </w:r>
      <w:r w:rsidR="002B692F">
        <w:rPr>
          <w:b/>
          <w:bCs/>
          <w:sz w:val="22"/>
          <w:szCs w:val="22"/>
          <w:lang w:val="tr-TR" w:eastAsia="fr-FR"/>
        </w:rPr>
        <w:t>darbe ile karşı karşıya</w:t>
      </w:r>
      <w:r w:rsidR="00FA4FC8">
        <w:rPr>
          <w:b/>
          <w:bCs/>
          <w:sz w:val="22"/>
          <w:szCs w:val="22"/>
          <w:lang w:val="tr-TR" w:eastAsia="fr-FR"/>
        </w:rPr>
        <w:t xml:space="preserve">. </w:t>
      </w:r>
      <w:r w:rsidR="008A3489" w:rsidRPr="002C2518">
        <w:rPr>
          <w:b/>
          <w:bCs/>
          <w:sz w:val="22"/>
          <w:szCs w:val="22"/>
          <w:lang w:val="tr-TR" w:eastAsia="fr-FR"/>
        </w:rPr>
        <w:t>(</w:t>
      </w:r>
      <w:r w:rsidR="008A3489">
        <w:rPr>
          <w:b/>
          <w:bCs/>
          <w:sz w:val="22"/>
          <w:szCs w:val="22"/>
          <w:lang w:val="tr-TR" w:eastAsia="fr-FR"/>
        </w:rPr>
        <w:t>Mart 2015’deki tahmin %</w:t>
      </w:r>
      <w:r w:rsidR="008A3489" w:rsidRPr="002C2518">
        <w:rPr>
          <w:b/>
          <w:bCs/>
          <w:sz w:val="22"/>
          <w:szCs w:val="22"/>
          <w:lang w:val="tr-TR" w:eastAsia="fr-FR"/>
        </w:rPr>
        <w:t>4.</w:t>
      </w:r>
      <w:r w:rsidR="008A3489">
        <w:rPr>
          <w:b/>
          <w:bCs/>
          <w:sz w:val="22"/>
          <w:szCs w:val="22"/>
          <w:lang w:val="tr-TR" w:eastAsia="fr-FR"/>
        </w:rPr>
        <w:t xml:space="preserve">2) </w:t>
      </w:r>
      <w:r w:rsidR="00FA4FC8">
        <w:rPr>
          <w:b/>
          <w:bCs/>
          <w:sz w:val="22"/>
          <w:szCs w:val="22"/>
          <w:lang w:val="tr-TR" w:eastAsia="fr-FR"/>
        </w:rPr>
        <w:t>Bununla birlikte gelişmiş ülkeler</w:t>
      </w:r>
      <w:r w:rsidR="008A5129">
        <w:rPr>
          <w:b/>
          <w:bCs/>
          <w:sz w:val="22"/>
          <w:szCs w:val="22"/>
          <w:lang w:val="tr-TR" w:eastAsia="fr-FR"/>
        </w:rPr>
        <w:t xml:space="preserve"> Euro bölgesinde</w:t>
      </w:r>
      <w:r w:rsidR="002B692F">
        <w:rPr>
          <w:b/>
          <w:bCs/>
          <w:sz w:val="22"/>
          <w:szCs w:val="22"/>
          <w:lang w:val="tr-TR" w:eastAsia="fr-FR"/>
        </w:rPr>
        <w:t>ki</w:t>
      </w:r>
      <w:r w:rsidR="008A5129">
        <w:rPr>
          <w:b/>
          <w:bCs/>
          <w:sz w:val="22"/>
          <w:szCs w:val="22"/>
          <w:lang w:val="tr-TR" w:eastAsia="fr-FR"/>
        </w:rPr>
        <w:t xml:space="preserve"> hafif toparlanmadan yararlanmakta</w:t>
      </w:r>
      <w:r w:rsidR="002B692F">
        <w:rPr>
          <w:b/>
          <w:bCs/>
          <w:sz w:val="22"/>
          <w:szCs w:val="22"/>
          <w:lang w:val="tr-TR" w:eastAsia="fr-FR"/>
        </w:rPr>
        <w:t xml:space="preserve"> </w:t>
      </w:r>
      <w:r w:rsidR="00376AA3" w:rsidRPr="002C2518">
        <w:rPr>
          <w:b/>
          <w:bCs/>
          <w:sz w:val="22"/>
          <w:szCs w:val="22"/>
          <w:lang w:val="tr-TR" w:eastAsia="fr-FR"/>
        </w:rPr>
        <w:t>(</w:t>
      </w:r>
      <w:r w:rsidR="008A5129">
        <w:rPr>
          <w:b/>
          <w:bCs/>
          <w:sz w:val="22"/>
          <w:szCs w:val="22"/>
          <w:lang w:val="tr-TR" w:eastAsia="fr-FR"/>
        </w:rPr>
        <w:t xml:space="preserve">2015 </w:t>
      </w:r>
      <w:r w:rsidR="002B692F">
        <w:rPr>
          <w:b/>
          <w:bCs/>
          <w:sz w:val="22"/>
          <w:szCs w:val="22"/>
          <w:lang w:val="tr-TR" w:eastAsia="fr-FR"/>
        </w:rPr>
        <w:t>büyüme tahmini</w:t>
      </w:r>
      <w:r w:rsidR="008A5129">
        <w:rPr>
          <w:b/>
          <w:bCs/>
          <w:sz w:val="22"/>
          <w:szCs w:val="22"/>
          <w:lang w:val="tr-TR" w:eastAsia="fr-FR"/>
        </w:rPr>
        <w:t xml:space="preserve"> %</w:t>
      </w:r>
      <w:r w:rsidR="00376AA3" w:rsidRPr="002C2518">
        <w:rPr>
          <w:b/>
          <w:bCs/>
          <w:sz w:val="22"/>
          <w:szCs w:val="22"/>
          <w:lang w:val="tr-TR" w:eastAsia="fr-FR"/>
        </w:rPr>
        <w:t>1.5).</w:t>
      </w:r>
    </w:p>
    <w:p w:rsidR="006A4B92" w:rsidRPr="002C2518" w:rsidRDefault="006A4B92" w:rsidP="006A4B92">
      <w:pPr>
        <w:pStyle w:val="Default"/>
        <w:spacing w:line="270" w:lineRule="exact"/>
        <w:jc w:val="both"/>
        <w:rPr>
          <w:b/>
          <w:bCs/>
          <w:sz w:val="22"/>
          <w:szCs w:val="22"/>
          <w:lang w:val="tr-TR" w:eastAsia="fr-FR"/>
        </w:rPr>
      </w:pPr>
    </w:p>
    <w:p w:rsidR="006A4B92" w:rsidRPr="002C2518" w:rsidRDefault="00037BEE" w:rsidP="006A4B92">
      <w:pPr>
        <w:pStyle w:val="Default"/>
        <w:spacing w:line="270" w:lineRule="exact"/>
        <w:jc w:val="both"/>
        <w:rPr>
          <w:b/>
          <w:sz w:val="20"/>
          <w:szCs w:val="20"/>
          <w:lang w:val="tr-TR"/>
        </w:rPr>
      </w:pPr>
      <w:r>
        <w:rPr>
          <w:b/>
          <w:sz w:val="20"/>
          <w:szCs w:val="20"/>
          <w:lang w:val="tr-TR"/>
        </w:rPr>
        <w:t xml:space="preserve">Avrasya’da ekonomik toparlanma devam ediyor </w:t>
      </w:r>
    </w:p>
    <w:p w:rsidR="006A4B92" w:rsidRPr="002C2518" w:rsidRDefault="006A4B92" w:rsidP="006A4B92">
      <w:pPr>
        <w:pStyle w:val="Default"/>
        <w:spacing w:line="270" w:lineRule="exact"/>
        <w:jc w:val="both"/>
        <w:rPr>
          <w:sz w:val="20"/>
          <w:szCs w:val="20"/>
          <w:lang w:val="tr-TR"/>
        </w:rPr>
      </w:pPr>
    </w:p>
    <w:p w:rsidR="006A4B92" w:rsidRPr="002C2518" w:rsidRDefault="00037BEE" w:rsidP="006A4B92">
      <w:pPr>
        <w:pStyle w:val="Default"/>
        <w:spacing w:line="270" w:lineRule="exact"/>
        <w:jc w:val="both"/>
        <w:rPr>
          <w:rFonts w:eastAsiaTheme="minorHAnsi"/>
          <w:sz w:val="20"/>
          <w:szCs w:val="22"/>
          <w:lang w:val="tr-TR" w:eastAsia="en-US"/>
        </w:rPr>
      </w:pPr>
      <w:r>
        <w:rPr>
          <w:rFonts w:eastAsiaTheme="minorHAnsi"/>
          <w:sz w:val="20"/>
          <w:szCs w:val="22"/>
          <w:lang w:val="tr-TR" w:eastAsia="en-US"/>
        </w:rPr>
        <w:t>Çek Cumhuriyeti, Portekiz ve Vietnam Ocak 2015’de po</w:t>
      </w:r>
      <w:r w:rsidR="008A3489">
        <w:rPr>
          <w:rFonts w:eastAsiaTheme="minorHAnsi"/>
          <w:sz w:val="20"/>
          <w:szCs w:val="22"/>
          <w:lang w:val="tr-TR" w:eastAsia="en-US"/>
        </w:rPr>
        <w:t xml:space="preserve">zitif takibe alındı. Bu ülkelerde ilerleme devam etmekte ve </w:t>
      </w:r>
      <w:r>
        <w:rPr>
          <w:rFonts w:eastAsiaTheme="minorHAnsi"/>
          <w:sz w:val="20"/>
          <w:szCs w:val="22"/>
          <w:lang w:val="tr-TR" w:eastAsia="en-US"/>
        </w:rPr>
        <w:t xml:space="preserve">ekonomilerini tüketici harcamaları </w:t>
      </w:r>
      <w:r w:rsidR="00A07481">
        <w:rPr>
          <w:rFonts w:eastAsiaTheme="minorHAnsi"/>
          <w:sz w:val="20"/>
          <w:szCs w:val="22"/>
          <w:lang w:val="tr-TR" w:eastAsia="en-US"/>
        </w:rPr>
        <w:t xml:space="preserve">ile </w:t>
      </w:r>
      <w:r>
        <w:rPr>
          <w:rFonts w:eastAsiaTheme="minorHAnsi"/>
          <w:sz w:val="20"/>
          <w:szCs w:val="22"/>
          <w:lang w:val="tr-TR" w:eastAsia="en-US"/>
        </w:rPr>
        <w:t>tetiklemektedir.</w:t>
      </w:r>
    </w:p>
    <w:p w:rsidR="006A4B92" w:rsidRPr="002C2518" w:rsidRDefault="006A4B92" w:rsidP="006A4B92">
      <w:pPr>
        <w:pStyle w:val="Default"/>
        <w:spacing w:line="270" w:lineRule="exact"/>
        <w:jc w:val="both"/>
        <w:rPr>
          <w:rFonts w:eastAsiaTheme="minorHAnsi"/>
          <w:sz w:val="20"/>
          <w:szCs w:val="22"/>
          <w:lang w:val="tr-TR" w:eastAsia="en-US"/>
        </w:rPr>
      </w:pPr>
    </w:p>
    <w:p w:rsidR="008B289C" w:rsidRPr="002C2518" w:rsidRDefault="00037BEE" w:rsidP="008B289C">
      <w:pPr>
        <w:pStyle w:val="Default"/>
        <w:numPr>
          <w:ilvl w:val="0"/>
          <w:numId w:val="27"/>
        </w:numPr>
        <w:spacing w:line="270" w:lineRule="exact"/>
        <w:jc w:val="both"/>
        <w:rPr>
          <w:sz w:val="20"/>
          <w:szCs w:val="20"/>
          <w:lang w:val="tr-TR"/>
        </w:rPr>
      </w:pPr>
      <w:r>
        <w:rPr>
          <w:rFonts w:eastAsiaTheme="minorHAnsi"/>
          <w:b/>
          <w:sz w:val="20"/>
          <w:szCs w:val="22"/>
          <w:lang w:val="tr-TR" w:eastAsia="en-US"/>
        </w:rPr>
        <w:t xml:space="preserve">Çek Cumhuriyeti </w:t>
      </w:r>
      <w:r w:rsidR="00812AF0">
        <w:rPr>
          <w:rFonts w:eastAsiaTheme="minorHAnsi"/>
          <w:sz w:val="20"/>
          <w:szCs w:val="22"/>
          <w:lang w:val="tr-TR" w:eastAsia="en-US"/>
        </w:rPr>
        <w:t xml:space="preserve">Batı Avrupa’daki ekonomik toparlanmadan </w:t>
      </w:r>
      <w:r w:rsidR="00A07481">
        <w:rPr>
          <w:rFonts w:eastAsiaTheme="minorHAnsi"/>
          <w:sz w:val="20"/>
          <w:szCs w:val="22"/>
          <w:lang w:val="tr-TR" w:eastAsia="en-US"/>
        </w:rPr>
        <w:t>yararlanmaktadır.</w:t>
      </w:r>
      <w:r w:rsidR="00812AF0">
        <w:rPr>
          <w:rFonts w:eastAsiaTheme="minorHAnsi"/>
          <w:sz w:val="20"/>
          <w:szCs w:val="22"/>
          <w:lang w:val="tr-TR" w:eastAsia="en-US"/>
        </w:rPr>
        <w:t xml:space="preserve"> (özellikle de Avrupa otomotiv piyasası) ve notu A3’e yükseltilmiştir. </w:t>
      </w:r>
    </w:p>
    <w:p w:rsidR="008B289C" w:rsidRPr="002C2518" w:rsidRDefault="008B289C" w:rsidP="008B289C">
      <w:pPr>
        <w:pStyle w:val="Default"/>
        <w:spacing w:line="270" w:lineRule="exact"/>
        <w:ind w:left="720"/>
        <w:jc w:val="both"/>
        <w:rPr>
          <w:sz w:val="20"/>
          <w:szCs w:val="20"/>
          <w:lang w:val="tr-TR"/>
        </w:rPr>
      </w:pPr>
    </w:p>
    <w:p w:rsidR="008B289C" w:rsidRPr="002C2518" w:rsidRDefault="001C7C13" w:rsidP="008B289C">
      <w:pPr>
        <w:pStyle w:val="Default"/>
        <w:numPr>
          <w:ilvl w:val="0"/>
          <w:numId w:val="27"/>
        </w:numPr>
        <w:spacing w:line="270" w:lineRule="exact"/>
        <w:jc w:val="both"/>
        <w:rPr>
          <w:sz w:val="20"/>
          <w:szCs w:val="20"/>
          <w:lang w:val="tr-TR"/>
        </w:rPr>
      </w:pPr>
      <w:r>
        <w:rPr>
          <w:rFonts w:eastAsiaTheme="minorHAnsi"/>
          <w:sz w:val="20"/>
          <w:szCs w:val="22"/>
          <w:lang w:val="tr-TR" w:eastAsia="en-US"/>
        </w:rPr>
        <w:t xml:space="preserve">Tatmin edici düzeydeki ödeme deneyimi sayesinde Coface </w:t>
      </w:r>
      <w:r w:rsidR="006A4B92" w:rsidRPr="002C2518">
        <w:rPr>
          <w:rFonts w:eastAsiaTheme="minorHAnsi"/>
          <w:b/>
          <w:sz w:val="20"/>
          <w:szCs w:val="22"/>
          <w:lang w:val="tr-TR" w:eastAsia="en-US"/>
        </w:rPr>
        <w:t>Po</w:t>
      </w:r>
      <w:r>
        <w:rPr>
          <w:rFonts w:eastAsiaTheme="minorHAnsi"/>
          <w:b/>
          <w:sz w:val="20"/>
          <w:szCs w:val="22"/>
          <w:lang w:val="tr-TR" w:eastAsia="en-US"/>
        </w:rPr>
        <w:t>rtekiz</w:t>
      </w:r>
      <w:r>
        <w:rPr>
          <w:rFonts w:eastAsiaTheme="minorHAnsi"/>
          <w:sz w:val="20"/>
          <w:szCs w:val="22"/>
          <w:lang w:val="tr-TR" w:eastAsia="en-US"/>
        </w:rPr>
        <w:t>’in notunu</w:t>
      </w:r>
      <w:r w:rsidR="006A4B92" w:rsidRPr="002C2518">
        <w:rPr>
          <w:rFonts w:eastAsiaTheme="minorHAnsi"/>
          <w:sz w:val="20"/>
          <w:szCs w:val="22"/>
          <w:lang w:val="tr-TR" w:eastAsia="en-US"/>
        </w:rPr>
        <w:t xml:space="preserve"> A4</w:t>
      </w:r>
      <w:r>
        <w:rPr>
          <w:rFonts w:eastAsiaTheme="minorHAnsi"/>
          <w:sz w:val="20"/>
          <w:szCs w:val="22"/>
          <w:lang w:val="tr-TR" w:eastAsia="en-US"/>
        </w:rPr>
        <w:t xml:space="preserve">’e yükseltmiştir ve özellikle de ihracat yapan şirketler arasında pozitif bir kurumsal ilerlemenin sürdüğünü teyit etmektedir. </w:t>
      </w:r>
    </w:p>
    <w:p w:rsidR="008B289C" w:rsidRPr="002C2518" w:rsidRDefault="008B289C" w:rsidP="008B289C">
      <w:pPr>
        <w:pStyle w:val="Default"/>
        <w:spacing w:line="270" w:lineRule="exact"/>
        <w:ind w:left="720"/>
        <w:jc w:val="both"/>
        <w:rPr>
          <w:sz w:val="20"/>
          <w:szCs w:val="20"/>
          <w:lang w:val="tr-TR"/>
        </w:rPr>
      </w:pPr>
    </w:p>
    <w:p w:rsidR="006A4B92" w:rsidRPr="002C2518" w:rsidRDefault="00DA4D6D" w:rsidP="008B289C">
      <w:pPr>
        <w:pStyle w:val="Default"/>
        <w:numPr>
          <w:ilvl w:val="0"/>
          <w:numId w:val="27"/>
        </w:numPr>
        <w:spacing w:line="270" w:lineRule="exact"/>
        <w:jc w:val="both"/>
        <w:rPr>
          <w:sz w:val="20"/>
          <w:szCs w:val="20"/>
          <w:lang w:val="tr-TR"/>
        </w:rPr>
      </w:pPr>
      <w:r>
        <w:rPr>
          <w:rFonts w:eastAsiaTheme="minorHAnsi"/>
          <w:sz w:val="20"/>
          <w:szCs w:val="22"/>
          <w:lang w:val="tr-TR" w:eastAsia="en-US"/>
        </w:rPr>
        <w:t xml:space="preserve">Notu B’ye yükseltilen </w:t>
      </w:r>
      <w:r w:rsidR="006A4B92" w:rsidRPr="002C2518">
        <w:rPr>
          <w:rFonts w:eastAsiaTheme="minorHAnsi"/>
          <w:b/>
          <w:sz w:val="20"/>
          <w:szCs w:val="22"/>
          <w:lang w:val="tr-TR" w:eastAsia="en-US"/>
        </w:rPr>
        <w:t>Vietnam</w:t>
      </w:r>
      <w:r>
        <w:rPr>
          <w:rFonts w:eastAsiaTheme="minorHAnsi"/>
          <w:sz w:val="20"/>
          <w:szCs w:val="22"/>
          <w:lang w:val="tr-TR" w:eastAsia="en-US"/>
        </w:rPr>
        <w:t xml:space="preserve">’da düşük enflasyon ve tüketici güveninin artması nedeniyle özel tüketimde bir artış görülmektedir. Dış risk azaltılmıştır, </w:t>
      </w:r>
      <w:r w:rsidR="002B692F">
        <w:rPr>
          <w:rFonts w:eastAsiaTheme="minorHAnsi"/>
          <w:sz w:val="20"/>
          <w:szCs w:val="22"/>
          <w:lang w:val="tr-TR" w:eastAsia="en-US"/>
        </w:rPr>
        <w:t xml:space="preserve">ülke </w:t>
      </w:r>
      <w:r>
        <w:rPr>
          <w:rFonts w:eastAsiaTheme="minorHAnsi"/>
          <w:sz w:val="20"/>
          <w:szCs w:val="22"/>
          <w:lang w:val="tr-TR" w:eastAsia="en-US"/>
        </w:rPr>
        <w:t>cari</w:t>
      </w:r>
      <w:r w:rsidR="00213585">
        <w:rPr>
          <w:rFonts w:eastAsiaTheme="minorHAnsi"/>
          <w:sz w:val="20"/>
          <w:szCs w:val="22"/>
          <w:lang w:val="tr-TR" w:eastAsia="en-US"/>
        </w:rPr>
        <w:t xml:space="preserve"> fazla vermektedir ve döviz rezervleri artmaktadır. </w:t>
      </w:r>
    </w:p>
    <w:p w:rsidR="006A4B92" w:rsidRPr="002C2518" w:rsidRDefault="006A4B92" w:rsidP="006A4B92">
      <w:pPr>
        <w:pStyle w:val="Default"/>
        <w:spacing w:line="270" w:lineRule="exact"/>
        <w:jc w:val="both"/>
        <w:rPr>
          <w:sz w:val="20"/>
          <w:szCs w:val="20"/>
          <w:lang w:val="tr-TR"/>
        </w:rPr>
      </w:pPr>
    </w:p>
    <w:p w:rsidR="006A4B92" w:rsidRPr="002C2518" w:rsidRDefault="00FC3D03" w:rsidP="006A4B92">
      <w:pPr>
        <w:pStyle w:val="Default"/>
        <w:spacing w:line="270" w:lineRule="exact"/>
        <w:jc w:val="both"/>
        <w:rPr>
          <w:b/>
          <w:sz w:val="20"/>
          <w:szCs w:val="20"/>
          <w:lang w:val="tr-TR"/>
        </w:rPr>
      </w:pPr>
      <w:r>
        <w:rPr>
          <w:b/>
          <w:sz w:val="20"/>
          <w:szCs w:val="20"/>
          <w:lang w:val="tr-TR"/>
        </w:rPr>
        <w:t>Kanada, Cezayir ve G</w:t>
      </w:r>
      <w:r w:rsidR="006A4B92" w:rsidRPr="002C2518">
        <w:rPr>
          <w:b/>
          <w:sz w:val="20"/>
          <w:szCs w:val="20"/>
          <w:lang w:val="tr-TR"/>
        </w:rPr>
        <w:t>abon</w:t>
      </w:r>
      <w:r w:rsidR="00AE44A1">
        <w:rPr>
          <w:b/>
          <w:sz w:val="20"/>
          <w:szCs w:val="20"/>
          <w:lang w:val="tr-TR"/>
        </w:rPr>
        <w:t xml:space="preserve"> düşük petrol fiyatlarının etkilerinden zarar görmektedir</w:t>
      </w:r>
    </w:p>
    <w:p w:rsidR="006A4B92" w:rsidRPr="002C2518" w:rsidRDefault="006A4B92" w:rsidP="006A4B92">
      <w:pPr>
        <w:pStyle w:val="Default"/>
        <w:spacing w:line="270" w:lineRule="exact"/>
        <w:jc w:val="both"/>
        <w:rPr>
          <w:b/>
          <w:sz w:val="20"/>
          <w:szCs w:val="20"/>
          <w:lang w:val="tr-TR"/>
        </w:rPr>
      </w:pPr>
    </w:p>
    <w:p w:rsidR="006A4B92" w:rsidRPr="002C2518" w:rsidRDefault="00254279" w:rsidP="006A4B92">
      <w:pPr>
        <w:pStyle w:val="Default"/>
        <w:spacing w:line="270" w:lineRule="exact"/>
        <w:jc w:val="both"/>
        <w:rPr>
          <w:sz w:val="20"/>
          <w:szCs w:val="20"/>
          <w:lang w:val="tr-TR"/>
        </w:rPr>
      </w:pPr>
      <w:r>
        <w:rPr>
          <w:sz w:val="20"/>
          <w:szCs w:val="20"/>
          <w:lang w:val="tr-TR"/>
        </w:rPr>
        <w:t>Hidrokarbon ihraç eden ülkeler petr</w:t>
      </w:r>
      <w:r w:rsidR="002B692F">
        <w:rPr>
          <w:sz w:val="20"/>
          <w:szCs w:val="20"/>
          <w:lang w:val="tr-TR"/>
        </w:rPr>
        <w:t>ol sektörüne bağımlı olmalarından dolayı</w:t>
      </w:r>
      <w:r>
        <w:rPr>
          <w:sz w:val="20"/>
          <w:szCs w:val="20"/>
          <w:lang w:val="tr-TR"/>
        </w:rPr>
        <w:t xml:space="preserve"> zarar görmektedir</w:t>
      </w:r>
      <w:r w:rsidR="006A4B92" w:rsidRPr="002C2518">
        <w:rPr>
          <w:sz w:val="20"/>
          <w:szCs w:val="20"/>
          <w:lang w:val="tr-TR"/>
        </w:rPr>
        <w:t>:</w:t>
      </w:r>
    </w:p>
    <w:p w:rsidR="006A4B92" w:rsidRPr="002C2518" w:rsidRDefault="006A4B92" w:rsidP="006A4B92">
      <w:pPr>
        <w:pStyle w:val="Default"/>
        <w:spacing w:line="270" w:lineRule="exact"/>
        <w:jc w:val="both"/>
        <w:rPr>
          <w:sz w:val="20"/>
          <w:szCs w:val="20"/>
          <w:lang w:val="tr-TR"/>
        </w:rPr>
      </w:pPr>
    </w:p>
    <w:p w:rsidR="006A4B92" w:rsidRPr="002C2518" w:rsidRDefault="00254279" w:rsidP="008B289C">
      <w:pPr>
        <w:pStyle w:val="Default"/>
        <w:numPr>
          <w:ilvl w:val="0"/>
          <w:numId w:val="26"/>
        </w:numPr>
        <w:spacing w:line="270" w:lineRule="exact"/>
        <w:jc w:val="both"/>
        <w:rPr>
          <w:sz w:val="20"/>
          <w:szCs w:val="20"/>
          <w:lang w:val="tr-TR"/>
        </w:rPr>
      </w:pPr>
      <w:r>
        <w:rPr>
          <w:b/>
          <w:sz w:val="20"/>
          <w:szCs w:val="20"/>
          <w:lang w:val="tr-TR"/>
        </w:rPr>
        <w:t>Kanada</w:t>
      </w:r>
      <w:r w:rsidR="006A4B92" w:rsidRPr="002C2518">
        <w:rPr>
          <w:sz w:val="20"/>
          <w:szCs w:val="20"/>
          <w:lang w:val="tr-TR"/>
        </w:rPr>
        <w:t>'</w:t>
      </w:r>
      <w:r>
        <w:rPr>
          <w:sz w:val="20"/>
          <w:szCs w:val="20"/>
          <w:lang w:val="tr-TR"/>
        </w:rPr>
        <w:t>nın</w:t>
      </w:r>
      <w:r w:rsidR="006A4B92" w:rsidRPr="002C2518">
        <w:rPr>
          <w:sz w:val="20"/>
          <w:szCs w:val="20"/>
          <w:lang w:val="tr-TR"/>
        </w:rPr>
        <w:t xml:space="preserve"> A1</w:t>
      </w:r>
      <w:r w:rsidR="00A07481">
        <w:rPr>
          <w:sz w:val="20"/>
          <w:szCs w:val="20"/>
          <w:lang w:val="tr-TR"/>
        </w:rPr>
        <w:t xml:space="preserve"> ülke değerlendirme notu,</w:t>
      </w:r>
      <w:r>
        <w:rPr>
          <w:sz w:val="20"/>
          <w:szCs w:val="20"/>
          <w:lang w:val="tr-TR"/>
        </w:rPr>
        <w:t xml:space="preserve"> </w:t>
      </w:r>
      <w:r w:rsidR="00B11367">
        <w:rPr>
          <w:sz w:val="20"/>
          <w:szCs w:val="20"/>
          <w:lang w:val="tr-TR"/>
        </w:rPr>
        <w:t>petrol fiyatlarındaki azalmanın yatırımlar üzerinde</w:t>
      </w:r>
      <w:r w:rsidR="008D17B4">
        <w:rPr>
          <w:sz w:val="20"/>
          <w:szCs w:val="20"/>
          <w:lang w:val="tr-TR"/>
        </w:rPr>
        <w:t>ki</w:t>
      </w:r>
      <w:r w:rsidR="00B11367">
        <w:rPr>
          <w:sz w:val="20"/>
          <w:szCs w:val="20"/>
          <w:lang w:val="tr-TR"/>
        </w:rPr>
        <w:t xml:space="preserve"> sonuçları, gayrimenkul sektörün</w:t>
      </w:r>
      <w:r w:rsidR="00D31717">
        <w:rPr>
          <w:sz w:val="20"/>
          <w:szCs w:val="20"/>
          <w:lang w:val="tr-TR"/>
        </w:rPr>
        <w:t>d</w:t>
      </w:r>
      <w:r w:rsidR="00B11367">
        <w:rPr>
          <w:sz w:val="20"/>
          <w:szCs w:val="20"/>
          <w:lang w:val="tr-TR"/>
        </w:rPr>
        <w:t>e yoğunlaşan riskler ve 2015’in ilk çeyreğindeki negatif büyüme sebebiyle</w:t>
      </w:r>
      <w:r>
        <w:rPr>
          <w:sz w:val="20"/>
          <w:szCs w:val="20"/>
          <w:lang w:val="tr-TR"/>
        </w:rPr>
        <w:t xml:space="preserve"> negatif takibe alınmıştır.</w:t>
      </w:r>
      <w:r w:rsidR="006A4B92" w:rsidRPr="002C2518">
        <w:rPr>
          <w:sz w:val="20"/>
          <w:szCs w:val="20"/>
          <w:lang w:val="tr-TR"/>
        </w:rPr>
        <w:t xml:space="preserve"> </w:t>
      </w:r>
    </w:p>
    <w:p w:rsidR="008B289C" w:rsidRPr="002C2518" w:rsidRDefault="008B289C" w:rsidP="008B289C">
      <w:pPr>
        <w:pStyle w:val="Default"/>
        <w:spacing w:line="270" w:lineRule="exact"/>
        <w:ind w:left="720"/>
        <w:jc w:val="both"/>
        <w:rPr>
          <w:sz w:val="20"/>
          <w:szCs w:val="20"/>
          <w:lang w:val="tr-TR"/>
        </w:rPr>
      </w:pPr>
    </w:p>
    <w:p w:rsidR="006A4B92" w:rsidRPr="002C2518" w:rsidRDefault="00371644" w:rsidP="006A4B92">
      <w:pPr>
        <w:pStyle w:val="Default"/>
        <w:numPr>
          <w:ilvl w:val="0"/>
          <w:numId w:val="26"/>
        </w:numPr>
        <w:spacing w:line="270" w:lineRule="exact"/>
        <w:jc w:val="both"/>
        <w:rPr>
          <w:sz w:val="20"/>
          <w:szCs w:val="20"/>
          <w:lang w:val="tr-TR"/>
        </w:rPr>
      </w:pPr>
      <w:r>
        <w:rPr>
          <w:b/>
          <w:sz w:val="20"/>
          <w:szCs w:val="20"/>
          <w:lang w:val="tr-TR"/>
        </w:rPr>
        <w:t>Cezayir</w:t>
      </w:r>
      <w:r w:rsidR="006A4B92" w:rsidRPr="002C2518">
        <w:rPr>
          <w:sz w:val="20"/>
          <w:szCs w:val="20"/>
          <w:lang w:val="tr-TR"/>
        </w:rPr>
        <w:t>'</w:t>
      </w:r>
      <w:r>
        <w:rPr>
          <w:sz w:val="20"/>
          <w:szCs w:val="20"/>
          <w:lang w:val="tr-TR"/>
        </w:rPr>
        <w:t>in</w:t>
      </w:r>
      <w:r w:rsidR="006A4B92" w:rsidRPr="002C2518">
        <w:rPr>
          <w:sz w:val="20"/>
          <w:szCs w:val="20"/>
          <w:lang w:val="tr-TR"/>
        </w:rPr>
        <w:t xml:space="preserve"> A4 </w:t>
      </w:r>
      <w:r>
        <w:rPr>
          <w:sz w:val="20"/>
          <w:szCs w:val="20"/>
          <w:lang w:val="tr-TR"/>
        </w:rPr>
        <w:t>değerlendirmesi de negatif takibe alınmıştır. Petrol fiyatlarındaki düşüş</w:t>
      </w:r>
      <w:r w:rsidR="00AE6147">
        <w:rPr>
          <w:sz w:val="20"/>
          <w:szCs w:val="20"/>
          <w:lang w:val="tr-TR"/>
        </w:rPr>
        <w:t>ün kamu hesapları ve ülkenin cari hesabına yönelik olumsuz bir etkisi olmuştur. Eğer fiyatlar toparlanmazsa, ülkedeki faaliyetlerin ağır işlemesi beklenmektedir.</w:t>
      </w:r>
    </w:p>
    <w:p w:rsidR="006A4B92" w:rsidRPr="002C2518" w:rsidRDefault="006A4B92" w:rsidP="006A4B92">
      <w:pPr>
        <w:pStyle w:val="Default"/>
        <w:spacing w:line="270" w:lineRule="exact"/>
        <w:ind w:left="720"/>
        <w:jc w:val="both"/>
        <w:rPr>
          <w:sz w:val="20"/>
          <w:szCs w:val="20"/>
          <w:lang w:val="tr-TR"/>
        </w:rPr>
      </w:pPr>
    </w:p>
    <w:p w:rsidR="006A4B92" w:rsidRPr="002C2518" w:rsidRDefault="006A4B92" w:rsidP="006A4B92">
      <w:pPr>
        <w:pStyle w:val="Default"/>
        <w:numPr>
          <w:ilvl w:val="0"/>
          <w:numId w:val="26"/>
        </w:numPr>
        <w:spacing w:line="270" w:lineRule="exact"/>
        <w:jc w:val="both"/>
        <w:rPr>
          <w:sz w:val="20"/>
          <w:szCs w:val="20"/>
          <w:lang w:val="tr-TR"/>
        </w:rPr>
      </w:pPr>
      <w:r w:rsidRPr="002C2518">
        <w:rPr>
          <w:b/>
          <w:sz w:val="20"/>
          <w:szCs w:val="20"/>
          <w:lang w:val="tr-TR"/>
        </w:rPr>
        <w:t>Gabon</w:t>
      </w:r>
      <w:r w:rsidRPr="002C2518">
        <w:rPr>
          <w:sz w:val="20"/>
          <w:szCs w:val="20"/>
          <w:lang w:val="tr-TR"/>
        </w:rPr>
        <w:t>'</w:t>
      </w:r>
      <w:r w:rsidR="00AE6147">
        <w:rPr>
          <w:sz w:val="20"/>
          <w:szCs w:val="20"/>
          <w:lang w:val="tr-TR"/>
        </w:rPr>
        <w:t>un</w:t>
      </w:r>
      <w:r w:rsidRPr="002C2518">
        <w:rPr>
          <w:sz w:val="20"/>
          <w:szCs w:val="20"/>
          <w:lang w:val="tr-TR"/>
        </w:rPr>
        <w:t xml:space="preserve"> B </w:t>
      </w:r>
      <w:r w:rsidR="00AE6147">
        <w:rPr>
          <w:sz w:val="20"/>
          <w:szCs w:val="20"/>
          <w:lang w:val="tr-TR"/>
        </w:rPr>
        <w:t xml:space="preserve">değerlendirmesi negatif takibe alınmıştır. </w:t>
      </w:r>
      <w:r w:rsidR="00214D3E">
        <w:rPr>
          <w:sz w:val="20"/>
          <w:szCs w:val="20"/>
          <w:lang w:val="tr-TR"/>
        </w:rPr>
        <w:t xml:space="preserve">Ülkenin petrole olan yüksek </w:t>
      </w:r>
      <w:r w:rsidR="002B692F">
        <w:rPr>
          <w:sz w:val="20"/>
          <w:szCs w:val="20"/>
          <w:lang w:val="tr-TR"/>
        </w:rPr>
        <w:t>bağımlılığı sebebiyle</w:t>
      </w:r>
      <w:r w:rsidR="00214D3E">
        <w:rPr>
          <w:sz w:val="20"/>
          <w:szCs w:val="20"/>
          <w:lang w:val="tr-TR"/>
        </w:rPr>
        <w:t xml:space="preserve"> 2015 yılında ekonomik faaliye</w:t>
      </w:r>
      <w:r w:rsidR="002B692F">
        <w:rPr>
          <w:sz w:val="20"/>
          <w:szCs w:val="20"/>
          <w:lang w:val="tr-TR"/>
        </w:rPr>
        <w:t>tlerde %4 düzeyin</w:t>
      </w:r>
      <w:r w:rsidR="00960B7A">
        <w:rPr>
          <w:sz w:val="20"/>
          <w:szCs w:val="20"/>
          <w:lang w:val="tr-TR"/>
        </w:rPr>
        <w:t xml:space="preserve">e </w:t>
      </w:r>
      <w:r w:rsidR="002B692F">
        <w:rPr>
          <w:sz w:val="20"/>
          <w:szCs w:val="20"/>
          <w:lang w:val="tr-TR"/>
        </w:rPr>
        <w:t xml:space="preserve">doğru </w:t>
      </w:r>
      <w:r w:rsidR="00960B7A">
        <w:rPr>
          <w:sz w:val="20"/>
          <w:szCs w:val="20"/>
          <w:lang w:val="tr-TR"/>
        </w:rPr>
        <w:lastRenderedPageBreak/>
        <w:t>yavaşlama olması beklenmektedir (son yıllardaki ortalama % 5.</w:t>
      </w:r>
      <w:r w:rsidR="002B692F">
        <w:rPr>
          <w:sz w:val="20"/>
          <w:szCs w:val="20"/>
          <w:lang w:val="tr-TR"/>
        </w:rPr>
        <w:t>4</w:t>
      </w:r>
      <w:r w:rsidR="00960B7A">
        <w:rPr>
          <w:sz w:val="20"/>
          <w:szCs w:val="20"/>
          <w:lang w:val="tr-TR"/>
        </w:rPr>
        <w:t xml:space="preserve">). </w:t>
      </w:r>
    </w:p>
    <w:p w:rsidR="006A4B92" w:rsidRPr="002C2518" w:rsidRDefault="006A4B92" w:rsidP="006A4B92">
      <w:pPr>
        <w:pStyle w:val="Default"/>
        <w:spacing w:line="270" w:lineRule="exact"/>
        <w:ind w:left="720"/>
        <w:jc w:val="both"/>
        <w:rPr>
          <w:sz w:val="20"/>
          <w:szCs w:val="20"/>
          <w:lang w:val="tr-TR"/>
        </w:rPr>
      </w:pPr>
    </w:p>
    <w:p w:rsidR="006A4B92" w:rsidRPr="002C2518" w:rsidRDefault="006A4B92" w:rsidP="006A4B92">
      <w:pPr>
        <w:pStyle w:val="Default"/>
        <w:numPr>
          <w:ilvl w:val="0"/>
          <w:numId w:val="26"/>
        </w:numPr>
        <w:spacing w:line="270" w:lineRule="exact"/>
        <w:jc w:val="both"/>
        <w:rPr>
          <w:sz w:val="20"/>
          <w:szCs w:val="20"/>
          <w:lang w:val="tr-TR"/>
        </w:rPr>
      </w:pPr>
      <w:r w:rsidRPr="002C2518">
        <w:rPr>
          <w:b/>
          <w:sz w:val="20"/>
          <w:szCs w:val="20"/>
          <w:lang w:val="tr-TR"/>
        </w:rPr>
        <w:t>Tanzan</w:t>
      </w:r>
      <w:r w:rsidR="00960B7A">
        <w:rPr>
          <w:b/>
          <w:sz w:val="20"/>
          <w:szCs w:val="20"/>
          <w:lang w:val="tr-TR"/>
        </w:rPr>
        <w:t>y</w:t>
      </w:r>
      <w:r w:rsidRPr="002C2518">
        <w:rPr>
          <w:b/>
          <w:sz w:val="20"/>
          <w:szCs w:val="20"/>
          <w:lang w:val="tr-TR"/>
        </w:rPr>
        <w:t>a</w:t>
      </w:r>
      <w:r w:rsidR="005B0B65">
        <w:rPr>
          <w:sz w:val="20"/>
          <w:szCs w:val="20"/>
          <w:lang w:val="tr-TR"/>
        </w:rPr>
        <w:t>, p</w:t>
      </w:r>
      <w:r w:rsidR="00A07481">
        <w:rPr>
          <w:sz w:val="20"/>
          <w:szCs w:val="20"/>
          <w:lang w:val="tr-TR"/>
        </w:rPr>
        <w:t>ara birimi</w:t>
      </w:r>
      <w:r w:rsidR="002B692F">
        <w:rPr>
          <w:sz w:val="20"/>
          <w:szCs w:val="20"/>
          <w:lang w:val="tr-TR"/>
        </w:rPr>
        <w:t>nin</w:t>
      </w:r>
      <w:r w:rsidR="0053185A">
        <w:rPr>
          <w:sz w:val="20"/>
          <w:szCs w:val="20"/>
          <w:lang w:val="tr-TR"/>
        </w:rPr>
        <w:t xml:space="preserve"> ABD Doları karşısında hızlı</w:t>
      </w:r>
      <w:r w:rsidR="00910FFD">
        <w:rPr>
          <w:sz w:val="20"/>
          <w:szCs w:val="20"/>
          <w:lang w:val="tr-TR"/>
        </w:rPr>
        <w:t xml:space="preserve"> bir şekilde</w:t>
      </w:r>
      <w:r w:rsidR="0053185A">
        <w:rPr>
          <w:sz w:val="20"/>
          <w:szCs w:val="20"/>
          <w:lang w:val="tr-TR"/>
        </w:rPr>
        <w:t xml:space="preserve"> değer </w:t>
      </w:r>
      <w:r w:rsidR="00910FFD">
        <w:rPr>
          <w:sz w:val="20"/>
          <w:szCs w:val="20"/>
          <w:lang w:val="tr-TR"/>
        </w:rPr>
        <w:t>kaybetmesinden</w:t>
      </w:r>
      <w:r w:rsidR="0053185A">
        <w:rPr>
          <w:sz w:val="20"/>
          <w:szCs w:val="20"/>
          <w:lang w:val="tr-TR"/>
        </w:rPr>
        <w:t xml:space="preserve"> zarar görmektedir. </w:t>
      </w:r>
      <w:r w:rsidR="00910FFD">
        <w:rPr>
          <w:sz w:val="20"/>
          <w:szCs w:val="20"/>
          <w:lang w:val="tr-TR"/>
        </w:rPr>
        <w:t xml:space="preserve">Şilin’in değerinin düşmesi endişelere neden oluyor ve şirketler büyük ölçüde zarar görüyor. </w:t>
      </w:r>
      <w:r w:rsidR="007B4463">
        <w:rPr>
          <w:sz w:val="20"/>
          <w:szCs w:val="20"/>
          <w:lang w:val="tr-TR"/>
        </w:rPr>
        <w:t>Ülkenin büyümesi yavaşlamaktadır ve diğer yandan kamu açığı derinleşmektedir. Coface B olan değerle</w:t>
      </w:r>
      <w:r w:rsidR="00AE1E6E">
        <w:rPr>
          <w:sz w:val="20"/>
          <w:szCs w:val="20"/>
          <w:lang w:val="tr-TR"/>
        </w:rPr>
        <w:t>ndirmesini negatif takibe almışt</w:t>
      </w:r>
      <w:r w:rsidR="007B4463">
        <w:rPr>
          <w:sz w:val="20"/>
          <w:szCs w:val="20"/>
          <w:lang w:val="tr-TR"/>
        </w:rPr>
        <w:t xml:space="preserve">ır. </w:t>
      </w:r>
    </w:p>
    <w:p w:rsidR="006A4B92" w:rsidRPr="002C2518" w:rsidRDefault="006A4B92" w:rsidP="006A4B92">
      <w:pPr>
        <w:pStyle w:val="Default"/>
        <w:spacing w:line="270" w:lineRule="exact"/>
        <w:ind w:left="720"/>
        <w:jc w:val="both"/>
        <w:rPr>
          <w:sz w:val="20"/>
          <w:szCs w:val="20"/>
          <w:lang w:val="tr-TR"/>
        </w:rPr>
      </w:pPr>
    </w:p>
    <w:p w:rsidR="006A4B92" w:rsidRPr="002C2518" w:rsidRDefault="007B4463" w:rsidP="006A4B92">
      <w:pPr>
        <w:pStyle w:val="Default"/>
        <w:numPr>
          <w:ilvl w:val="0"/>
          <w:numId w:val="26"/>
        </w:numPr>
        <w:spacing w:line="270" w:lineRule="exact"/>
        <w:jc w:val="both"/>
        <w:rPr>
          <w:sz w:val="20"/>
          <w:szCs w:val="20"/>
          <w:lang w:val="tr-TR"/>
        </w:rPr>
      </w:pPr>
      <w:r>
        <w:rPr>
          <w:sz w:val="20"/>
          <w:szCs w:val="20"/>
          <w:lang w:val="tr-TR"/>
        </w:rPr>
        <w:t xml:space="preserve">Son olarak, </w:t>
      </w:r>
      <w:r w:rsidR="006A4B92" w:rsidRPr="002C2518">
        <w:rPr>
          <w:b/>
          <w:sz w:val="20"/>
          <w:szCs w:val="20"/>
          <w:lang w:val="tr-TR"/>
        </w:rPr>
        <w:t>Madagas</w:t>
      </w:r>
      <w:r>
        <w:rPr>
          <w:b/>
          <w:sz w:val="20"/>
          <w:szCs w:val="20"/>
          <w:lang w:val="tr-TR"/>
        </w:rPr>
        <w:t>k</w:t>
      </w:r>
      <w:r w:rsidR="006A4B92" w:rsidRPr="002C2518">
        <w:rPr>
          <w:b/>
          <w:sz w:val="20"/>
          <w:szCs w:val="20"/>
          <w:lang w:val="tr-TR"/>
        </w:rPr>
        <w:t xml:space="preserve">ar </w:t>
      </w:r>
      <w:r>
        <w:rPr>
          <w:sz w:val="20"/>
          <w:szCs w:val="20"/>
          <w:lang w:val="tr-TR"/>
        </w:rPr>
        <w:t>ekonomisi süregelen siyasi istikrarsızlıktan zarar görmektedir. C olan değerlendirmesi negatif takibe alınmıştır</w:t>
      </w:r>
      <w:r w:rsidR="001A5653">
        <w:rPr>
          <w:sz w:val="20"/>
          <w:szCs w:val="20"/>
          <w:lang w:val="tr-TR"/>
        </w:rPr>
        <w:t>.</w:t>
      </w:r>
      <w:r>
        <w:rPr>
          <w:sz w:val="20"/>
          <w:szCs w:val="20"/>
          <w:lang w:val="tr-TR"/>
        </w:rPr>
        <w:t xml:space="preserve"> </w:t>
      </w:r>
    </w:p>
    <w:p w:rsidR="006A4B92" w:rsidRPr="002C2518" w:rsidRDefault="006A4B92" w:rsidP="006A4B92">
      <w:pPr>
        <w:suppressAutoHyphens/>
        <w:spacing w:line="270" w:lineRule="exact"/>
        <w:jc w:val="both"/>
        <w:rPr>
          <w:rFonts w:ascii="Arial" w:hAnsi="Arial" w:cs="Arial"/>
          <w:b/>
          <w:sz w:val="20"/>
          <w:szCs w:val="20"/>
        </w:rPr>
      </w:pPr>
    </w:p>
    <w:p w:rsidR="006A4B92" w:rsidRPr="002C2518" w:rsidRDefault="007B4463" w:rsidP="006A4B92">
      <w:pPr>
        <w:suppressAutoHyphens/>
        <w:spacing w:line="270" w:lineRule="exact"/>
        <w:jc w:val="both"/>
        <w:rPr>
          <w:rFonts w:ascii="Arial" w:hAnsi="Arial" w:cs="Arial"/>
          <w:b/>
          <w:sz w:val="20"/>
          <w:szCs w:val="20"/>
        </w:rPr>
      </w:pPr>
      <w:bookmarkStart w:id="0" w:name="_GoBack"/>
      <w:r>
        <w:rPr>
          <w:rFonts w:ascii="Arial" w:hAnsi="Arial" w:cs="Arial"/>
          <w:b/>
          <w:sz w:val="20"/>
          <w:szCs w:val="20"/>
        </w:rPr>
        <w:t>Çin ekonomisindeki</w:t>
      </w:r>
      <w:r w:rsidR="00823CDD">
        <w:rPr>
          <w:rFonts w:ascii="Arial" w:hAnsi="Arial" w:cs="Arial"/>
          <w:b/>
          <w:sz w:val="20"/>
          <w:szCs w:val="20"/>
        </w:rPr>
        <w:t xml:space="preserve"> şirketlerin borç düzeyi bir endişe kaynağıdır. </w:t>
      </w:r>
    </w:p>
    <w:p w:rsidR="006A4B92" w:rsidRPr="002C2518" w:rsidRDefault="006A4B92" w:rsidP="006A4B92">
      <w:pPr>
        <w:pStyle w:val="Default"/>
        <w:spacing w:line="270" w:lineRule="exact"/>
        <w:jc w:val="both"/>
        <w:rPr>
          <w:sz w:val="20"/>
          <w:szCs w:val="20"/>
          <w:lang w:val="tr-TR"/>
        </w:rPr>
      </w:pPr>
    </w:p>
    <w:p w:rsidR="006A4B92" w:rsidRPr="002C2518" w:rsidRDefault="00823CDD" w:rsidP="006A4B92">
      <w:pPr>
        <w:pStyle w:val="Default"/>
        <w:spacing w:line="270" w:lineRule="exact"/>
        <w:jc w:val="both"/>
        <w:rPr>
          <w:sz w:val="20"/>
          <w:szCs w:val="20"/>
          <w:lang w:val="tr-TR"/>
        </w:rPr>
      </w:pPr>
      <w:r>
        <w:rPr>
          <w:sz w:val="20"/>
          <w:szCs w:val="20"/>
          <w:lang w:val="tr-TR"/>
        </w:rPr>
        <w:t xml:space="preserve">Ocak </w:t>
      </w:r>
      <w:r w:rsidR="00DF6699">
        <w:rPr>
          <w:sz w:val="20"/>
          <w:szCs w:val="20"/>
          <w:lang w:val="tr-TR"/>
        </w:rPr>
        <w:t xml:space="preserve">2015’de negatif takibe alınan </w:t>
      </w:r>
      <w:r w:rsidR="00DF6699">
        <w:rPr>
          <w:b/>
          <w:sz w:val="20"/>
          <w:szCs w:val="20"/>
          <w:lang w:val="tr-TR"/>
        </w:rPr>
        <w:t>Çin</w:t>
      </w:r>
      <w:r w:rsidR="00B15E3C" w:rsidRPr="002C2518">
        <w:rPr>
          <w:sz w:val="20"/>
          <w:szCs w:val="20"/>
          <w:lang w:val="tr-TR"/>
        </w:rPr>
        <w:t>’</w:t>
      </w:r>
      <w:r w:rsidR="00DF6699">
        <w:rPr>
          <w:sz w:val="20"/>
          <w:szCs w:val="20"/>
          <w:lang w:val="tr-TR"/>
        </w:rPr>
        <w:t>in notu</w:t>
      </w:r>
      <w:r w:rsidR="00B15E3C" w:rsidRPr="002C2518">
        <w:rPr>
          <w:sz w:val="20"/>
          <w:szCs w:val="20"/>
          <w:lang w:val="tr-TR"/>
        </w:rPr>
        <w:t xml:space="preserve"> A4</w:t>
      </w:r>
      <w:r w:rsidR="00DF6699">
        <w:rPr>
          <w:sz w:val="20"/>
          <w:szCs w:val="20"/>
          <w:lang w:val="tr-TR"/>
        </w:rPr>
        <w:t>’e düşürülmüştür. Ülkedeki özel borç seviyesi artış göstermektedir, bunun temel nedeni şirketlerdir. 2008 yılında</w:t>
      </w:r>
      <w:r w:rsidR="00871593">
        <w:rPr>
          <w:sz w:val="20"/>
          <w:szCs w:val="20"/>
          <w:lang w:val="tr-TR"/>
        </w:rPr>
        <w:t>ki</w:t>
      </w:r>
      <w:r w:rsidR="00DF6699">
        <w:rPr>
          <w:sz w:val="20"/>
          <w:szCs w:val="20"/>
          <w:lang w:val="tr-TR"/>
        </w:rPr>
        <w:t xml:space="preserve"> %130 oranı ile mukayese edildiğinde </w:t>
      </w:r>
      <w:r w:rsidR="002155E8" w:rsidRPr="002C2518">
        <w:rPr>
          <w:sz w:val="20"/>
          <w:szCs w:val="20"/>
          <w:lang w:val="tr-TR"/>
        </w:rPr>
        <w:t>(IMF</w:t>
      </w:r>
      <w:r w:rsidR="002155E8">
        <w:rPr>
          <w:sz w:val="20"/>
          <w:szCs w:val="20"/>
          <w:lang w:val="tr-TR"/>
        </w:rPr>
        <w:t>’ye göre</w:t>
      </w:r>
      <w:r w:rsidR="002155E8" w:rsidRPr="002C2518">
        <w:rPr>
          <w:sz w:val="20"/>
          <w:szCs w:val="20"/>
          <w:lang w:val="tr-TR"/>
        </w:rPr>
        <w:t>)</w:t>
      </w:r>
      <w:r w:rsidR="002155E8">
        <w:rPr>
          <w:sz w:val="20"/>
          <w:szCs w:val="20"/>
          <w:lang w:val="tr-TR"/>
        </w:rPr>
        <w:t xml:space="preserve"> </w:t>
      </w:r>
      <w:r w:rsidR="00DF6699">
        <w:rPr>
          <w:sz w:val="20"/>
          <w:szCs w:val="20"/>
          <w:lang w:val="tr-TR"/>
        </w:rPr>
        <w:t xml:space="preserve">borç düzeyi 2014 yılında </w:t>
      </w:r>
      <w:r w:rsidR="0014360C">
        <w:rPr>
          <w:sz w:val="20"/>
          <w:szCs w:val="20"/>
          <w:lang w:val="tr-TR"/>
        </w:rPr>
        <w:t>GSYİH’in %207’si</w:t>
      </w:r>
      <w:r w:rsidR="002155E8">
        <w:rPr>
          <w:sz w:val="20"/>
          <w:szCs w:val="20"/>
          <w:lang w:val="tr-TR"/>
        </w:rPr>
        <w:t xml:space="preserve"> kadardır.</w:t>
      </w:r>
      <w:r w:rsidR="006A4B92" w:rsidRPr="002C2518">
        <w:rPr>
          <w:sz w:val="20"/>
          <w:szCs w:val="20"/>
          <w:lang w:val="tr-TR"/>
        </w:rPr>
        <w:t xml:space="preserve"> </w:t>
      </w:r>
      <w:r w:rsidR="000D3224">
        <w:rPr>
          <w:sz w:val="20"/>
          <w:szCs w:val="20"/>
          <w:lang w:val="tr-TR"/>
        </w:rPr>
        <w:t xml:space="preserve">Bu düzey endişe verici olarak değerlendirilmektedir ve diğer gelişmekte olan ülkelerin seviyesinden çok daha fazladır. Bu bağlamda </w:t>
      </w:r>
      <w:r w:rsidR="00B26B94">
        <w:rPr>
          <w:sz w:val="20"/>
          <w:szCs w:val="20"/>
          <w:lang w:val="tr-TR"/>
        </w:rPr>
        <w:t xml:space="preserve">kırılgan sektörlerdeki şirketlerin borç ödeme </w:t>
      </w:r>
      <w:r w:rsidR="008A3489">
        <w:rPr>
          <w:sz w:val="20"/>
          <w:szCs w:val="20"/>
          <w:lang w:val="tr-TR"/>
        </w:rPr>
        <w:t xml:space="preserve">kapasiteleri </w:t>
      </w:r>
      <w:r w:rsidR="00B26B94">
        <w:rPr>
          <w:sz w:val="20"/>
          <w:szCs w:val="20"/>
          <w:lang w:val="tr-TR"/>
        </w:rPr>
        <w:t>bu durumdan etkilenebilir. Alty</w:t>
      </w:r>
      <w:r w:rsidR="00394FD8">
        <w:rPr>
          <w:sz w:val="20"/>
          <w:szCs w:val="20"/>
          <w:lang w:val="tr-TR"/>
        </w:rPr>
        <w:t>ap</w:t>
      </w:r>
      <w:r w:rsidR="00B26B94">
        <w:rPr>
          <w:sz w:val="20"/>
          <w:szCs w:val="20"/>
          <w:lang w:val="tr-TR"/>
        </w:rPr>
        <w:t>ı h</w:t>
      </w:r>
      <w:r w:rsidR="00F45A94">
        <w:rPr>
          <w:sz w:val="20"/>
          <w:szCs w:val="20"/>
          <w:lang w:val="tr-TR"/>
        </w:rPr>
        <w:t>arca</w:t>
      </w:r>
      <w:r w:rsidR="00B26B94">
        <w:rPr>
          <w:sz w:val="20"/>
          <w:szCs w:val="20"/>
          <w:lang w:val="tr-TR"/>
        </w:rPr>
        <w:t xml:space="preserve">maları ile ilişkili olan çimento, kimyasal maddeler ve çelik segmentleri </w:t>
      </w:r>
      <w:r w:rsidR="003A30B9">
        <w:rPr>
          <w:sz w:val="20"/>
          <w:szCs w:val="20"/>
          <w:lang w:val="tr-TR"/>
        </w:rPr>
        <w:t xml:space="preserve">aşırı kapasite nedeniyle zayıflamıştır. </w:t>
      </w:r>
    </w:p>
    <w:p w:rsidR="006A4B92" w:rsidRPr="002C2518" w:rsidRDefault="006A4B92" w:rsidP="006A4B92">
      <w:pPr>
        <w:suppressAutoHyphens/>
        <w:spacing w:line="270" w:lineRule="exact"/>
        <w:jc w:val="both"/>
        <w:rPr>
          <w:rFonts w:ascii="Arial" w:hAnsi="Arial" w:cs="Arial"/>
          <w:sz w:val="20"/>
        </w:rPr>
      </w:pPr>
    </w:p>
    <w:bookmarkEnd w:id="0"/>
    <w:p w:rsidR="00D90A6C" w:rsidRPr="002C2518" w:rsidRDefault="00D90A6C" w:rsidP="00376AA3">
      <w:pPr>
        <w:pStyle w:val="Footer"/>
        <w:spacing w:line="200" w:lineRule="exact"/>
        <w:rPr>
          <w:rFonts w:ascii="Arial" w:hAnsi="Arial" w:cs="Arial"/>
          <w:b/>
          <w:sz w:val="18"/>
          <w:szCs w:val="18"/>
        </w:rPr>
      </w:pPr>
    </w:p>
    <w:p w:rsidR="00D90A6C" w:rsidRPr="002C2518" w:rsidRDefault="00D90A6C" w:rsidP="00376AA3">
      <w:pPr>
        <w:pStyle w:val="Footer"/>
        <w:spacing w:line="200" w:lineRule="exact"/>
        <w:rPr>
          <w:rFonts w:ascii="Arial" w:hAnsi="Arial" w:cs="Arial"/>
          <w:b/>
          <w:sz w:val="18"/>
          <w:szCs w:val="18"/>
        </w:rPr>
      </w:pPr>
    </w:p>
    <w:p w:rsidR="00093894" w:rsidRPr="002C2518" w:rsidRDefault="00093894">
      <w:pPr>
        <w:rPr>
          <w:rFonts w:ascii="Arial" w:eastAsia="Arial Unicode MS" w:hAnsi="Arial"/>
          <w:color w:val="000000"/>
          <w:szCs w:val="20"/>
          <w:u w:color="000000"/>
        </w:rPr>
      </w:pPr>
      <w:r w:rsidRPr="002C2518">
        <w:rPr>
          <w:rFonts w:ascii="Arial" w:hAnsi="Arial"/>
        </w:rPr>
        <w:br w:type="page"/>
      </w:r>
    </w:p>
    <w:p w:rsidR="00A07481" w:rsidRDefault="00A07481" w:rsidP="00093894">
      <w:pPr>
        <w:pStyle w:val="Body1"/>
        <w:spacing w:line="270" w:lineRule="exact"/>
        <w:jc w:val="center"/>
        <w:rPr>
          <w:rFonts w:ascii="Arial" w:hAnsi="Arial"/>
          <w:b/>
          <w:color w:val="1F497D"/>
          <w:sz w:val="28"/>
          <w:szCs w:val="28"/>
          <w:lang w:val="tr-TR"/>
        </w:rPr>
      </w:pPr>
    </w:p>
    <w:p w:rsidR="00A07481" w:rsidRDefault="00A07481" w:rsidP="00093894">
      <w:pPr>
        <w:pStyle w:val="Body1"/>
        <w:spacing w:line="270" w:lineRule="exact"/>
        <w:jc w:val="center"/>
        <w:rPr>
          <w:rFonts w:ascii="Arial" w:hAnsi="Arial"/>
          <w:b/>
          <w:color w:val="1F497D"/>
          <w:sz w:val="28"/>
          <w:szCs w:val="28"/>
          <w:lang w:val="tr-TR"/>
        </w:rPr>
      </w:pPr>
    </w:p>
    <w:p w:rsidR="00093894" w:rsidRPr="002C2518" w:rsidRDefault="0062279B" w:rsidP="00093894">
      <w:pPr>
        <w:pStyle w:val="Body1"/>
        <w:spacing w:line="270" w:lineRule="exact"/>
        <w:jc w:val="center"/>
        <w:rPr>
          <w:rFonts w:ascii="Arial" w:hAnsi="Arial"/>
          <w:b/>
          <w:color w:val="1F497D"/>
          <w:sz w:val="28"/>
          <w:szCs w:val="28"/>
          <w:lang w:val="tr-TR"/>
        </w:rPr>
      </w:pPr>
      <w:r>
        <w:rPr>
          <w:rFonts w:ascii="Arial" w:hAnsi="Arial"/>
          <w:b/>
          <w:color w:val="1F497D"/>
          <w:sz w:val="28"/>
          <w:szCs w:val="28"/>
          <w:lang w:val="tr-TR"/>
        </w:rPr>
        <w:t>E</w:t>
      </w:r>
      <w:r w:rsidR="00873CF9">
        <w:rPr>
          <w:rFonts w:ascii="Arial" w:hAnsi="Arial"/>
          <w:b/>
          <w:color w:val="1F497D"/>
          <w:sz w:val="28"/>
          <w:szCs w:val="28"/>
          <w:lang w:val="tr-TR"/>
        </w:rPr>
        <w:t>K</w:t>
      </w:r>
    </w:p>
    <w:p w:rsidR="00231E53" w:rsidRPr="002C2518" w:rsidRDefault="00231E53" w:rsidP="00E57760">
      <w:pPr>
        <w:pStyle w:val="Body1"/>
        <w:spacing w:line="270" w:lineRule="exact"/>
        <w:jc w:val="both"/>
        <w:rPr>
          <w:rFonts w:ascii="Arial" w:hAnsi="Arial"/>
          <w:lang w:val="tr-TR"/>
        </w:rPr>
      </w:pPr>
    </w:p>
    <w:p w:rsidR="00231E53" w:rsidRPr="002C2518" w:rsidRDefault="00231E53" w:rsidP="00274F36"/>
    <w:p w:rsidR="00A07481" w:rsidRDefault="00A07481" w:rsidP="004B4310">
      <w:pPr>
        <w:spacing w:line="270" w:lineRule="exact"/>
        <w:rPr>
          <w:rFonts w:ascii="Arial" w:eastAsia="Arial Unicode MS" w:hAnsi="Arial"/>
          <w:b/>
          <w:color w:val="1F497D"/>
          <w:sz w:val="22"/>
          <w:szCs w:val="22"/>
          <w:u w:color="000000"/>
        </w:rPr>
      </w:pPr>
      <w:r>
        <w:rPr>
          <w:rFonts w:ascii="Arial" w:eastAsia="Arial Unicode MS" w:hAnsi="Arial"/>
          <w:b/>
          <w:color w:val="1F497D"/>
          <w:sz w:val="22"/>
          <w:szCs w:val="22"/>
          <w:u w:color="000000"/>
        </w:rPr>
        <w:t>AR</w:t>
      </w:r>
      <w:r w:rsidR="00B07437" w:rsidRPr="00B07437">
        <w:rPr>
          <w:rFonts w:ascii="Arial" w:eastAsia="Arial Unicode MS" w:hAnsi="Arial"/>
          <w:b/>
          <w:color w:val="1F497D"/>
          <w:sz w:val="22"/>
          <w:szCs w:val="22"/>
          <w:u w:color="000000"/>
        </w:rPr>
        <w:t xml:space="preserve">TIRILAN, YA DA NEGATİF İZLEME LİSTESİNDEN ÇIKARTILAN VEYA POZİTİF İZLEME LİSTESİNE ALINAN DEĞERLENDİRME </w:t>
      </w:r>
      <w:r w:rsidR="00B07437" w:rsidRPr="00B07437">
        <w:rPr>
          <w:rFonts w:ascii="Arial" w:eastAsia="Arial Unicode MS" w:hAnsi="Arial"/>
          <w:b/>
          <w:color w:val="1F497D"/>
          <w:sz w:val="22"/>
          <w:szCs w:val="22"/>
          <w:u w:color="000000"/>
        </w:rPr>
        <w:tab/>
      </w:r>
      <w:r>
        <w:rPr>
          <w:rFonts w:ascii="Arial" w:eastAsia="Arial Unicode MS" w:hAnsi="Arial"/>
          <w:b/>
          <w:color w:val="1F497D"/>
          <w:sz w:val="22"/>
          <w:szCs w:val="22"/>
          <w:u w:color="000000"/>
        </w:rPr>
        <w:t>NOTLARI</w:t>
      </w:r>
    </w:p>
    <w:p w:rsidR="00A07481" w:rsidRDefault="00A07481" w:rsidP="004B4310">
      <w:pPr>
        <w:spacing w:line="270" w:lineRule="exact"/>
        <w:rPr>
          <w:rFonts w:ascii="Arial" w:eastAsia="Arial Unicode MS" w:hAnsi="Arial"/>
          <w:b/>
          <w:color w:val="1F497D"/>
          <w:sz w:val="22"/>
          <w:szCs w:val="22"/>
          <w:u w:color="000000"/>
        </w:rPr>
      </w:pPr>
    </w:p>
    <w:p w:rsidR="004B4310" w:rsidRPr="00B07437" w:rsidRDefault="00B07437" w:rsidP="004B4310">
      <w:pPr>
        <w:spacing w:line="270" w:lineRule="exact"/>
        <w:rPr>
          <w:rFonts w:ascii="Arial" w:eastAsia="Arial Unicode MS" w:hAnsi="Arial"/>
          <w:b/>
          <w:color w:val="1F497D"/>
          <w:sz w:val="22"/>
          <w:szCs w:val="22"/>
          <w:u w:color="000000"/>
        </w:rPr>
      </w:pPr>
      <w:r w:rsidRPr="00B07437">
        <w:rPr>
          <w:rFonts w:ascii="Arial" w:eastAsia="Arial Unicode MS" w:hAnsi="Arial"/>
          <w:b/>
          <w:color w:val="1F497D"/>
          <w:sz w:val="22"/>
          <w:szCs w:val="22"/>
          <w:u w:color="000000"/>
        </w:rPr>
        <w:tab/>
      </w:r>
      <w:r w:rsidRPr="00B07437">
        <w:rPr>
          <w:rFonts w:ascii="Arial" w:eastAsia="Arial Unicode MS" w:hAnsi="Arial"/>
          <w:b/>
          <w:color w:val="1F497D"/>
          <w:sz w:val="22"/>
          <w:szCs w:val="22"/>
          <w:u w:color="000000"/>
        </w:rPr>
        <w:tab/>
      </w:r>
      <w:r w:rsidRPr="00B07437">
        <w:rPr>
          <w:rFonts w:ascii="Arial" w:eastAsia="Arial Unicode MS" w:hAnsi="Arial"/>
          <w:b/>
          <w:color w:val="1F497D"/>
          <w:sz w:val="22"/>
          <w:szCs w:val="22"/>
          <w:u w:color="000000"/>
        </w:rPr>
        <w:tab/>
      </w:r>
      <w:r w:rsidRPr="00B07437">
        <w:rPr>
          <w:rFonts w:ascii="Arial" w:eastAsia="Arial Unicode MS" w:hAnsi="Arial"/>
          <w:b/>
          <w:color w:val="1F497D"/>
          <w:sz w:val="22"/>
          <w:szCs w:val="22"/>
          <w:u w:color="000000"/>
        </w:rPr>
        <w:tab/>
      </w:r>
    </w:p>
    <w:p w:rsidR="004B4310" w:rsidRDefault="006C2D9C" w:rsidP="004B4310">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Ü</w:t>
      </w:r>
      <w:r w:rsidR="001960D8">
        <w:rPr>
          <w:rFonts w:ascii="Arial" w:eastAsia="Arial Unicode MS" w:hAnsi="Arial"/>
          <w:color w:val="1F497D"/>
          <w:sz w:val="18"/>
          <w:szCs w:val="18"/>
          <w:u w:color="000000"/>
        </w:rPr>
        <w:t>lke</w:t>
      </w:r>
      <w:r w:rsidR="001960D8">
        <w:rPr>
          <w:rFonts w:ascii="Arial" w:eastAsia="Arial Unicode MS" w:hAnsi="Arial"/>
          <w:color w:val="1F497D"/>
          <w:sz w:val="18"/>
          <w:szCs w:val="18"/>
          <w:u w:color="000000"/>
        </w:rPr>
        <w:tab/>
      </w:r>
      <w:r w:rsidR="001960D8">
        <w:rPr>
          <w:rFonts w:ascii="Arial" w:eastAsia="Arial Unicode MS" w:hAnsi="Arial"/>
          <w:color w:val="1F497D"/>
          <w:sz w:val="18"/>
          <w:szCs w:val="18"/>
          <w:u w:color="000000"/>
        </w:rPr>
        <w:tab/>
      </w:r>
      <w:r w:rsidR="001960D8">
        <w:rPr>
          <w:rFonts w:ascii="Arial" w:eastAsia="Arial Unicode MS" w:hAnsi="Arial"/>
          <w:color w:val="1F497D"/>
          <w:sz w:val="18"/>
          <w:szCs w:val="18"/>
          <w:u w:color="000000"/>
        </w:rPr>
        <w:tab/>
      </w:r>
      <w:r w:rsidR="001960D8">
        <w:rPr>
          <w:rFonts w:ascii="Arial" w:eastAsia="Arial Unicode MS" w:hAnsi="Arial"/>
          <w:color w:val="1F497D"/>
          <w:sz w:val="18"/>
          <w:szCs w:val="18"/>
          <w:u w:color="000000"/>
        </w:rPr>
        <w:tab/>
        <w:t>Önceki Ülke Riski</w:t>
      </w:r>
      <w:r w:rsidR="001960D8">
        <w:rPr>
          <w:rFonts w:ascii="Arial" w:eastAsia="Arial Unicode MS" w:hAnsi="Arial"/>
          <w:color w:val="1F497D"/>
          <w:sz w:val="18"/>
          <w:szCs w:val="18"/>
          <w:u w:color="000000"/>
        </w:rPr>
        <w:tab/>
      </w:r>
      <w:r w:rsidR="00A07481">
        <w:rPr>
          <w:rFonts w:ascii="Arial" w:eastAsia="Arial Unicode MS" w:hAnsi="Arial"/>
          <w:color w:val="1F497D"/>
          <w:sz w:val="18"/>
          <w:szCs w:val="18"/>
          <w:u w:color="000000"/>
        </w:rPr>
        <w:t xml:space="preserve"> Notu</w:t>
      </w:r>
      <w:r w:rsidR="001960D8">
        <w:rPr>
          <w:rFonts w:ascii="Arial" w:eastAsia="Arial Unicode MS" w:hAnsi="Arial"/>
          <w:color w:val="1F497D"/>
          <w:sz w:val="18"/>
          <w:szCs w:val="18"/>
          <w:u w:color="000000"/>
        </w:rPr>
        <w:tab/>
      </w:r>
      <w:r w:rsidR="001960D8">
        <w:rPr>
          <w:rFonts w:ascii="Arial" w:eastAsia="Arial Unicode MS" w:hAnsi="Arial"/>
          <w:color w:val="1F497D"/>
          <w:sz w:val="18"/>
          <w:szCs w:val="18"/>
          <w:u w:color="000000"/>
        </w:rPr>
        <w:tab/>
        <w:t>Yeni Ülke Riski</w:t>
      </w:r>
      <w:r w:rsidR="00A07481">
        <w:rPr>
          <w:rFonts w:ascii="Arial" w:eastAsia="Arial Unicode MS" w:hAnsi="Arial"/>
          <w:color w:val="1F497D"/>
          <w:sz w:val="18"/>
          <w:szCs w:val="18"/>
          <w:u w:color="000000"/>
        </w:rPr>
        <w:t xml:space="preserve"> Notu</w:t>
      </w:r>
    </w:p>
    <w:p w:rsidR="001960D8" w:rsidRDefault="001960D8" w:rsidP="004B4310">
      <w:pPr>
        <w:spacing w:line="270" w:lineRule="exact"/>
        <w:rPr>
          <w:rFonts w:ascii="Arial" w:eastAsia="Arial Unicode MS" w:hAnsi="Arial"/>
          <w:color w:val="1F497D"/>
          <w:sz w:val="18"/>
          <w:szCs w:val="18"/>
          <w:u w:color="000000"/>
        </w:rPr>
      </w:pPr>
    </w:p>
    <w:p w:rsidR="001960D8" w:rsidRDefault="001960D8" w:rsidP="004B4310">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Çek Cumhuriyeti</w:t>
      </w:r>
      <w:r w:rsidR="00D0193A">
        <w:rPr>
          <w:rFonts w:ascii="Arial" w:eastAsia="Arial Unicode MS" w:hAnsi="Arial"/>
          <w:color w:val="1F497D"/>
          <w:sz w:val="18"/>
          <w:szCs w:val="18"/>
          <w:u w:color="000000"/>
        </w:rPr>
        <w:tab/>
      </w:r>
      <w:r w:rsidR="00D0193A">
        <w:rPr>
          <w:rFonts w:ascii="Arial" w:eastAsia="Arial Unicode MS" w:hAnsi="Arial"/>
          <w:color w:val="1F497D"/>
          <w:sz w:val="18"/>
          <w:szCs w:val="18"/>
          <w:u w:color="000000"/>
        </w:rPr>
        <w:tab/>
      </w:r>
      <w:r w:rsidR="00D0193A">
        <w:rPr>
          <w:rFonts w:ascii="Arial" w:eastAsia="Arial Unicode MS" w:hAnsi="Arial"/>
          <w:color w:val="1F497D"/>
          <w:sz w:val="18"/>
          <w:szCs w:val="18"/>
          <w:u w:color="000000"/>
        </w:rPr>
        <w:tab/>
        <w:t>A4</w:t>
      </w:r>
      <w:r w:rsidR="00D0193A">
        <w:rPr>
          <w:rFonts w:ascii="Arial" w:eastAsia="Arial Unicode MS" w:hAnsi="Arial" w:cs="Arial"/>
          <w:color w:val="1F497D"/>
          <w:sz w:val="18"/>
          <w:szCs w:val="18"/>
          <w:u w:color="000000"/>
        </w:rPr>
        <w:t>↑</w:t>
      </w:r>
      <w:r w:rsidR="00D0193A">
        <w:rPr>
          <w:rFonts w:ascii="Arial" w:eastAsia="Arial Unicode MS" w:hAnsi="Arial" w:cs="Arial"/>
          <w:color w:val="1F497D"/>
          <w:sz w:val="18"/>
          <w:szCs w:val="18"/>
          <w:u w:color="000000"/>
        </w:rPr>
        <w:tab/>
      </w:r>
      <w:r w:rsidR="00D0193A">
        <w:rPr>
          <w:rFonts w:ascii="Arial" w:eastAsia="Arial Unicode MS" w:hAnsi="Arial" w:cs="Arial"/>
          <w:color w:val="1F497D"/>
          <w:sz w:val="18"/>
          <w:szCs w:val="18"/>
          <w:u w:color="000000"/>
        </w:rPr>
        <w:tab/>
      </w:r>
      <w:r w:rsidR="00D0193A">
        <w:rPr>
          <w:rFonts w:ascii="Arial" w:eastAsia="Arial Unicode MS" w:hAnsi="Arial" w:cs="Arial"/>
          <w:color w:val="1F497D"/>
          <w:sz w:val="18"/>
          <w:szCs w:val="18"/>
          <w:u w:color="000000"/>
        </w:rPr>
        <w:tab/>
      </w:r>
      <w:r w:rsidR="00D0193A">
        <w:rPr>
          <w:rFonts w:ascii="Arial" w:eastAsia="Arial Unicode MS" w:hAnsi="Arial" w:cs="Arial"/>
          <w:color w:val="1F497D"/>
          <w:sz w:val="18"/>
          <w:szCs w:val="18"/>
          <w:u w:color="000000"/>
        </w:rPr>
        <w:tab/>
        <w:t>A3</w:t>
      </w:r>
    </w:p>
    <w:p w:rsidR="001960D8" w:rsidRDefault="001960D8" w:rsidP="004B4310">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 xml:space="preserve">Portekiz </w:t>
      </w:r>
      <w:r w:rsidR="00D0193A">
        <w:rPr>
          <w:rFonts w:ascii="Arial" w:eastAsia="Arial Unicode MS" w:hAnsi="Arial"/>
          <w:color w:val="1F497D"/>
          <w:sz w:val="18"/>
          <w:szCs w:val="18"/>
          <w:u w:color="000000"/>
        </w:rPr>
        <w:tab/>
      </w:r>
      <w:r w:rsidR="00D0193A">
        <w:rPr>
          <w:rFonts w:ascii="Arial" w:eastAsia="Arial Unicode MS" w:hAnsi="Arial"/>
          <w:color w:val="1F497D"/>
          <w:sz w:val="18"/>
          <w:szCs w:val="18"/>
          <w:u w:color="000000"/>
        </w:rPr>
        <w:tab/>
      </w:r>
      <w:r w:rsidR="00D0193A">
        <w:rPr>
          <w:rFonts w:ascii="Arial" w:eastAsia="Arial Unicode MS" w:hAnsi="Arial"/>
          <w:color w:val="1F497D"/>
          <w:sz w:val="18"/>
          <w:szCs w:val="18"/>
          <w:u w:color="000000"/>
        </w:rPr>
        <w:tab/>
      </w:r>
      <w:r w:rsidR="00D0193A">
        <w:rPr>
          <w:rFonts w:ascii="Arial" w:eastAsia="Arial Unicode MS" w:hAnsi="Arial"/>
          <w:color w:val="1F497D"/>
          <w:sz w:val="18"/>
          <w:szCs w:val="18"/>
          <w:u w:color="000000"/>
        </w:rPr>
        <w:tab/>
        <w:t>B</w:t>
      </w:r>
      <w:r w:rsidR="00D0193A">
        <w:rPr>
          <w:rFonts w:ascii="Arial" w:eastAsia="Arial Unicode MS" w:hAnsi="Arial" w:cs="Arial"/>
          <w:color w:val="1F497D"/>
          <w:sz w:val="18"/>
          <w:szCs w:val="18"/>
          <w:u w:color="000000"/>
        </w:rPr>
        <w:t>↑</w:t>
      </w:r>
      <w:r w:rsidR="00D0193A">
        <w:rPr>
          <w:rFonts w:ascii="Arial" w:eastAsia="Arial Unicode MS" w:hAnsi="Arial" w:cs="Arial"/>
          <w:color w:val="1F497D"/>
          <w:sz w:val="18"/>
          <w:szCs w:val="18"/>
          <w:u w:color="000000"/>
        </w:rPr>
        <w:tab/>
      </w:r>
      <w:r w:rsidR="00D0193A">
        <w:rPr>
          <w:rFonts w:ascii="Arial" w:eastAsia="Arial Unicode MS" w:hAnsi="Arial" w:cs="Arial"/>
          <w:color w:val="1F497D"/>
          <w:sz w:val="18"/>
          <w:szCs w:val="18"/>
          <w:u w:color="000000"/>
        </w:rPr>
        <w:tab/>
      </w:r>
      <w:r w:rsidR="00D0193A">
        <w:rPr>
          <w:rFonts w:ascii="Arial" w:eastAsia="Arial Unicode MS" w:hAnsi="Arial" w:cs="Arial"/>
          <w:color w:val="1F497D"/>
          <w:sz w:val="18"/>
          <w:szCs w:val="18"/>
          <w:u w:color="000000"/>
        </w:rPr>
        <w:tab/>
      </w:r>
      <w:r w:rsidR="00D0193A">
        <w:rPr>
          <w:rFonts w:ascii="Arial" w:eastAsia="Arial Unicode MS" w:hAnsi="Arial" w:cs="Arial"/>
          <w:color w:val="1F497D"/>
          <w:sz w:val="18"/>
          <w:szCs w:val="18"/>
          <w:u w:color="000000"/>
        </w:rPr>
        <w:tab/>
        <w:t>A4</w:t>
      </w:r>
    </w:p>
    <w:p w:rsidR="001960D8" w:rsidRDefault="001960D8" w:rsidP="004B4310">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Vietnam</w:t>
      </w:r>
      <w:r w:rsidR="00D0193A">
        <w:rPr>
          <w:rFonts w:ascii="Arial" w:eastAsia="Arial Unicode MS" w:hAnsi="Arial"/>
          <w:color w:val="1F497D"/>
          <w:sz w:val="18"/>
          <w:szCs w:val="18"/>
          <w:u w:color="000000"/>
        </w:rPr>
        <w:tab/>
      </w:r>
      <w:r w:rsidR="00D0193A">
        <w:rPr>
          <w:rFonts w:ascii="Arial" w:eastAsia="Arial Unicode MS" w:hAnsi="Arial"/>
          <w:color w:val="1F497D"/>
          <w:sz w:val="18"/>
          <w:szCs w:val="18"/>
          <w:u w:color="000000"/>
        </w:rPr>
        <w:tab/>
      </w:r>
      <w:r w:rsidR="00D0193A">
        <w:rPr>
          <w:rFonts w:ascii="Arial" w:eastAsia="Arial Unicode MS" w:hAnsi="Arial"/>
          <w:color w:val="1F497D"/>
          <w:sz w:val="18"/>
          <w:szCs w:val="18"/>
          <w:u w:color="000000"/>
        </w:rPr>
        <w:tab/>
      </w:r>
      <w:r w:rsidR="00D0193A">
        <w:rPr>
          <w:rFonts w:ascii="Arial" w:eastAsia="Arial Unicode MS" w:hAnsi="Arial"/>
          <w:color w:val="1F497D"/>
          <w:sz w:val="18"/>
          <w:szCs w:val="18"/>
          <w:u w:color="000000"/>
        </w:rPr>
        <w:tab/>
        <w:t>C</w:t>
      </w:r>
      <w:r w:rsidR="00D0193A">
        <w:rPr>
          <w:rFonts w:ascii="Arial" w:eastAsia="Arial Unicode MS" w:hAnsi="Arial" w:cs="Arial"/>
          <w:color w:val="1F497D"/>
          <w:sz w:val="18"/>
          <w:szCs w:val="18"/>
          <w:u w:color="000000"/>
        </w:rPr>
        <w:t>↑</w:t>
      </w:r>
      <w:r w:rsidR="00D0193A">
        <w:rPr>
          <w:rFonts w:ascii="Arial" w:eastAsia="Arial Unicode MS" w:hAnsi="Arial" w:cs="Arial"/>
          <w:color w:val="1F497D"/>
          <w:sz w:val="18"/>
          <w:szCs w:val="18"/>
          <w:u w:color="000000"/>
        </w:rPr>
        <w:tab/>
      </w:r>
      <w:r w:rsidR="00D0193A">
        <w:rPr>
          <w:rFonts w:ascii="Arial" w:eastAsia="Arial Unicode MS" w:hAnsi="Arial" w:cs="Arial"/>
          <w:color w:val="1F497D"/>
          <w:sz w:val="18"/>
          <w:szCs w:val="18"/>
          <w:u w:color="000000"/>
        </w:rPr>
        <w:tab/>
      </w:r>
      <w:r w:rsidR="00D0193A">
        <w:rPr>
          <w:rFonts w:ascii="Arial" w:eastAsia="Arial Unicode MS" w:hAnsi="Arial" w:cs="Arial"/>
          <w:color w:val="1F497D"/>
          <w:sz w:val="18"/>
          <w:szCs w:val="18"/>
          <w:u w:color="000000"/>
        </w:rPr>
        <w:tab/>
      </w:r>
      <w:r w:rsidR="00D0193A">
        <w:rPr>
          <w:rFonts w:ascii="Arial" w:eastAsia="Arial Unicode MS" w:hAnsi="Arial" w:cs="Arial"/>
          <w:color w:val="1F497D"/>
          <w:sz w:val="18"/>
          <w:szCs w:val="18"/>
          <w:u w:color="000000"/>
        </w:rPr>
        <w:tab/>
        <w:t>B</w:t>
      </w:r>
    </w:p>
    <w:p w:rsidR="004B4310" w:rsidRDefault="004B4310" w:rsidP="004B4310">
      <w:pPr>
        <w:spacing w:line="270" w:lineRule="exact"/>
        <w:rPr>
          <w:rFonts w:ascii="Arial" w:eastAsia="Arial Unicode MS" w:hAnsi="Arial"/>
          <w:b/>
          <w:color w:val="1F497D"/>
          <w:sz w:val="18"/>
          <w:szCs w:val="18"/>
          <w:u w:color="000000"/>
        </w:rPr>
      </w:pPr>
    </w:p>
    <w:p w:rsidR="004B4310" w:rsidRDefault="004B4310" w:rsidP="004B4310">
      <w:pPr>
        <w:spacing w:line="270" w:lineRule="exact"/>
        <w:rPr>
          <w:rFonts w:ascii="Arial" w:eastAsia="Arial Unicode MS" w:hAnsi="Arial"/>
          <w:b/>
          <w:color w:val="1F497D"/>
          <w:sz w:val="18"/>
          <w:szCs w:val="18"/>
          <w:u w:color="000000"/>
        </w:rPr>
      </w:pPr>
    </w:p>
    <w:p w:rsidR="00A82208" w:rsidRPr="0068210F" w:rsidRDefault="00A82208" w:rsidP="004B4310">
      <w:pPr>
        <w:spacing w:line="270" w:lineRule="exact"/>
        <w:rPr>
          <w:rFonts w:ascii="Arial" w:eastAsia="Arial Unicode MS" w:hAnsi="Arial"/>
          <w:b/>
          <w:color w:val="1F497D"/>
          <w:sz w:val="18"/>
          <w:szCs w:val="18"/>
          <w:u w:color="000000"/>
        </w:rPr>
      </w:pPr>
    </w:p>
    <w:p w:rsidR="00231E53" w:rsidRPr="00860737" w:rsidRDefault="00860737" w:rsidP="00274F36">
      <w:pPr>
        <w:rPr>
          <w:sz w:val="22"/>
          <w:szCs w:val="22"/>
        </w:rPr>
      </w:pPr>
      <w:r w:rsidRPr="00860737">
        <w:rPr>
          <w:rFonts w:ascii="Arial" w:eastAsia="Arial Unicode MS" w:hAnsi="Arial"/>
          <w:b/>
          <w:color w:val="1F497D"/>
          <w:sz w:val="22"/>
          <w:szCs w:val="22"/>
          <w:u w:color="000000"/>
        </w:rPr>
        <w:t>DÜŞÜRÜLEN, YA DA POZİTİF İZLEME LİSTESİNDEN ÇIKARTILAN VEYA NEGATİF İZLEME LİSTESİNE ALINAN DEĞERLENDİRME</w:t>
      </w:r>
      <w:r w:rsidR="00A07481">
        <w:rPr>
          <w:rFonts w:ascii="Arial" w:eastAsia="Arial Unicode MS" w:hAnsi="Arial"/>
          <w:b/>
          <w:color w:val="1F497D"/>
          <w:sz w:val="22"/>
          <w:szCs w:val="22"/>
          <w:u w:color="000000"/>
        </w:rPr>
        <w:t xml:space="preserve"> NOTLARI</w:t>
      </w:r>
    </w:p>
    <w:p w:rsidR="00231E53" w:rsidRPr="002C2518" w:rsidRDefault="00231E53" w:rsidP="00231E53"/>
    <w:p w:rsidR="009537BA" w:rsidRDefault="009537BA" w:rsidP="009537BA">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Ülke</w:t>
      </w:r>
      <w:r>
        <w:rPr>
          <w:rFonts w:ascii="Arial" w:eastAsia="Arial Unicode MS" w:hAnsi="Arial"/>
          <w:color w:val="1F497D"/>
          <w:sz w:val="18"/>
          <w:szCs w:val="18"/>
          <w:u w:color="000000"/>
        </w:rPr>
        <w:tab/>
      </w:r>
      <w:r>
        <w:rPr>
          <w:rFonts w:ascii="Arial" w:eastAsia="Arial Unicode MS" w:hAnsi="Arial"/>
          <w:color w:val="1F497D"/>
          <w:sz w:val="18"/>
          <w:szCs w:val="18"/>
          <w:u w:color="000000"/>
        </w:rPr>
        <w:tab/>
      </w:r>
      <w:r>
        <w:rPr>
          <w:rFonts w:ascii="Arial" w:eastAsia="Arial Unicode MS" w:hAnsi="Arial"/>
          <w:color w:val="1F497D"/>
          <w:sz w:val="18"/>
          <w:szCs w:val="18"/>
          <w:u w:color="000000"/>
        </w:rPr>
        <w:tab/>
      </w:r>
      <w:r>
        <w:rPr>
          <w:rFonts w:ascii="Arial" w:eastAsia="Arial Unicode MS" w:hAnsi="Arial"/>
          <w:color w:val="1F497D"/>
          <w:sz w:val="18"/>
          <w:szCs w:val="18"/>
          <w:u w:color="000000"/>
        </w:rPr>
        <w:tab/>
        <w:t>Önceki Ülke Riski</w:t>
      </w:r>
      <w:r>
        <w:rPr>
          <w:rFonts w:ascii="Arial" w:eastAsia="Arial Unicode MS" w:hAnsi="Arial"/>
          <w:color w:val="1F497D"/>
          <w:sz w:val="18"/>
          <w:szCs w:val="18"/>
          <w:u w:color="000000"/>
        </w:rPr>
        <w:tab/>
      </w:r>
      <w:r w:rsidR="00A07481">
        <w:rPr>
          <w:rFonts w:ascii="Arial" w:eastAsia="Arial Unicode MS" w:hAnsi="Arial"/>
          <w:color w:val="1F497D"/>
          <w:sz w:val="18"/>
          <w:szCs w:val="18"/>
          <w:u w:color="000000"/>
        </w:rPr>
        <w:t xml:space="preserve"> Notu</w:t>
      </w:r>
      <w:r>
        <w:rPr>
          <w:rFonts w:ascii="Arial" w:eastAsia="Arial Unicode MS" w:hAnsi="Arial"/>
          <w:color w:val="1F497D"/>
          <w:sz w:val="18"/>
          <w:szCs w:val="18"/>
          <w:u w:color="000000"/>
        </w:rPr>
        <w:tab/>
      </w:r>
      <w:r>
        <w:rPr>
          <w:rFonts w:ascii="Arial" w:eastAsia="Arial Unicode MS" w:hAnsi="Arial"/>
          <w:color w:val="1F497D"/>
          <w:sz w:val="18"/>
          <w:szCs w:val="18"/>
          <w:u w:color="000000"/>
        </w:rPr>
        <w:tab/>
        <w:t>Yeni Ülke Risk</w:t>
      </w:r>
      <w:r w:rsidR="00AD3260">
        <w:rPr>
          <w:rFonts w:ascii="Arial" w:eastAsia="Arial Unicode MS" w:hAnsi="Arial"/>
          <w:color w:val="1F497D"/>
          <w:sz w:val="18"/>
          <w:szCs w:val="18"/>
          <w:u w:color="000000"/>
        </w:rPr>
        <w:t>i</w:t>
      </w:r>
      <w:r w:rsidR="00A07481">
        <w:rPr>
          <w:rFonts w:ascii="Arial" w:eastAsia="Arial Unicode MS" w:hAnsi="Arial"/>
          <w:color w:val="1F497D"/>
          <w:sz w:val="18"/>
          <w:szCs w:val="18"/>
          <w:u w:color="000000"/>
        </w:rPr>
        <w:t xml:space="preserve"> Notu</w:t>
      </w:r>
    </w:p>
    <w:p w:rsidR="00AD3260" w:rsidRDefault="00AD3260" w:rsidP="009537BA">
      <w:pPr>
        <w:spacing w:line="270" w:lineRule="exact"/>
        <w:rPr>
          <w:rFonts w:ascii="Arial" w:eastAsia="Arial Unicode MS" w:hAnsi="Arial"/>
          <w:color w:val="1F497D"/>
          <w:sz w:val="18"/>
          <w:szCs w:val="18"/>
          <w:u w:color="000000"/>
        </w:rPr>
      </w:pPr>
    </w:p>
    <w:p w:rsidR="00AD3260" w:rsidRDefault="00AD3260" w:rsidP="009537BA">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Cezayir</w:t>
      </w:r>
      <w:r w:rsidR="00567E63">
        <w:rPr>
          <w:rFonts w:ascii="Arial" w:eastAsia="Arial Unicode MS" w:hAnsi="Arial"/>
          <w:color w:val="1F497D"/>
          <w:sz w:val="18"/>
          <w:szCs w:val="18"/>
          <w:u w:color="000000"/>
        </w:rPr>
        <w:tab/>
      </w:r>
      <w:r w:rsidR="00567E63">
        <w:rPr>
          <w:rFonts w:ascii="Arial" w:eastAsia="Arial Unicode MS" w:hAnsi="Arial"/>
          <w:color w:val="1F497D"/>
          <w:sz w:val="18"/>
          <w:szCs w:val="18"/>
          <w:u w:color="000000"/>
        </w:rPr>
        <w:tab/>
      </w:r>
      <w:r w:rsidR="00567E63">
        <w:rPr>
          <w:rFonts w:ascii="Arial" w:eastAsia="Arial Unicode MS" w:hAnsi="Arial"/>
          <w:color w:val="1F497D"/>
          <w:sz w:val="18"/>
          <w:szCs w:val="18"/>
          <w:u w:color="000000"/>
        </w:rPr>
        <w:tab/>
      </w:r>
      <w:r w:rsidR="00567E63">
        <w:rPr>
          <w:rFonts w:ascii="Arial" w:eastAsia="Arial Unicode MS" w:hAnsi="Arial"/>
          <w:color w:val="1F497D"/>
          <w:sz w:val="18"/>
          <w:szCs w:val="18"/>
          <w:u w:color="000000"/>
        </w:rPr>
        <w:tab/>
        <w:t>A4</w:t>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t>A4</w:t>
      </w:r>
      <w:r w:rsidR="000B67B6" w:rsidRPr="00860737">
        <w:rPr>
          <w:rFonts w:ascii="Arial" w:eastAsia="Arial Unicode MS" w:hAnsi="Arial" w:cs="Arial"/>
          <w:color w:val="1F497D"/>
          <w:sz w:val="22"/>
          <w:szCs w:val="22"/>
          <w:u w:color="000000"/>
        </w:rPr>
        <w:t>↓</w:t>
      </w:r>
    </w:p>
    <w:p w:rsidR="00AD3260" w:rsidRDefault="00AD3260" w:rsidP="009537BA">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Bahreyn</w:t>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t>A4</w:t>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t>A4</w:t>
      </w:r>
      <w:r w:rsidR="000B67B6" w:rsidRPr="00860737">
        <w:rPr>
          <w:rFonts w:ascii="Arial" w:eastAsia="Arial Unicode MS" w:hAnsi="Arial" w:cs="Arial"/>
          <w:color w:val="1F497D"/>
          <w:sz w:val="22"/>
          <w:szCs w:val="22"/>
          <w:u w:color="000000"/>
        </w:rPr>
        <w:t>↓</w:t>
      </w:r>
      <w:r w:rsidR="000B67B6">
        <w:rPr>
          <w:rFonts w:ascii="Arial" w:eastAsia="Arial Unicode MS" w:hAnsi="Arial"/>
          <w:color w:val="1F497D"/>
          <w:sz w:val="18"/>
          <w:szCs w:val="18"/>
          <w:u w:color="000000"/>
        </w:rPr>
        <w:tab/>
      </w:r>
    </w:p>
    <w:p w:rsidR="00AD3260" w:rsidRDefault="00AD3260" w:rsidP="009537BA">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Kanad</w:t>
      </w:r>
      <w:r w:rsidR="00AB4C7E">
        <w:rPr>
          <w:rFonts w:ascii="Arial" w:eastAsia="Arial Unicode MS" w:hAnsi="Arial"/>
          <w:color w:val="1F497D"/>
          <w:sz w:val="18"/>
          <w:szCs w:val="18"/>
          <w:u w:color="000000"/>
        </w:rPr>
        <w:t>a</w:t>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t>A1</w:t>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t>A1</w:t>
      </w:r>
      <w:r w:rsidR="000B67B6" w:rsidRPr="00860737">
        <w:rPr>
          <w:rFonts w:ascii="Arial" w:eastAsia="Arial Unicode MS" w:hAnsi="Arial" w:cs="Arial"/>
          <w:color w:val="1F497D"/>
          <w:sz w:val="22"/>
          <w:szCs w:val="22"/>
          <w:u w:color="000000"/>
        </w:rPr>
        <w:t>↓</w:t>
      </w:r>
    </w:p>
    <w:p w:rsidR="00AB4C7E" w:rsidRDefault="00AB4C7E" w:rsidP="009537BA">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Çin</w:t>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t>A3</w:t>
      </w:r>
      <w:r w:rsidR="003C388E" w:rsidRPr="00860737">
        <w:rPr>
          <w:rFonts w:ascii="Arial" w:eastAsia="Arial Unicode MS" w:hAnsi="Arial" w:cs="Arial"/>
          <w:color w:val="1F497D"/>
          <w:sz w:val="22"/>
          <w:szCs w:val="22"/>
          <w:u w:color="000000"/>
        </w:rPr>
        <w:t>↓</w:t>
      </w:r>
      <w:r w:rsidR="000B67B6">
        <w:rPr>
          <w:rFonts w:ascii="Arial" w:eastAsia="Arial Unicode MS" w:hAnsi="Arial" w:cs="Arial"/>
          <w:color w:val="1F497D"/>
          <w:sz w:val="22"/>
          <w:szCs w:val="22"/>
          <w:u w:color="000000"/>
        </w:rPr>
        <w:tab/>
      </w:r>
      <w:r w:rsidR="000B67B6">
        <w:rPr>
          <w:rFonts w:ascii="Arial" w:eastAsia="Arial Unicode MS" w:hAnsi="Arial" w:cs="Arial"/>
          <w:color w:val="1F497D"/>
          <w:sz w:val="22"/>
          <w:szCs w:val="22"/>
          <w:u w:color="000000"/>
        </w:rPr>
        <w:tab/>
      </w:r>
      <w:r w:rsidR="000B67B6">
        <w:rPr>
          <w:rFonts w:ascii="Arial" w:eastAsia="Arial Unicode MS" w:hAnsi="Arial" w:cs="Arial"/>
          <w:color w:val="1F497D"/>
          <w:sz w:val="22"/>
          <w:szCs w:val="22"/>
          <w:u w:color="000000"/>
        </w:rPr>
        <w:tab/>
      </w:r>
      <w:r w:rsidR="000B67B6">
        <w:rPr>
          <w:rFonts w:ascii="Arial" w:eastAsia="Arial Unicode MS" w:hAnsi="Arial" w:cs="Arial"/>
          <w:color w:val="1F497D"/>
          <w:sz w:val="22"/>
          <w:szCs w:val="22"/>
          <w:u w:color="000000"/>
        </w:rPr>
        <w:tab/>
      </w:r>
      <w:r w:rsidR="000B67B6">
        <w:rPr>
          <w:rFonts w:ascii="Arial" w:eastAsia="Arial Unicode MS" w:hAnsi="Arial"/>
          <w:color w:val="1F497D"/>
          <w:sz w:val="18"/>
          <w:szCs w:val="18"/>
          <w:u w:color="000000"/>
        </w:rPr>
        <w:t>A4</w:t>
      </w:r>
    </w:p>
    <w:p w:rsidR="00AB4C7E" w:rsidRDefault="00AB4C7E" w:rsidP="009537BA">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Gabon</w:t>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t>B</w:t>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t>B</w:t>
      </w:r>
      <w:r w:rsidR="000B67B6" w:rsidRPr="00860737">
        <w:rPr>
          <w:rFonts w:ascii="Arial" w:eastAsia="Arial Unicode MS" w:hAnsi="Arial" w:cs="Arial"/>
          <w:color w:val="1F497D"/>
          <w:sz w:val="22"/>
          <w:szCs w:val="22"/>
          <w:u w:color="000000"/>
        </w:rPr>
        <w:t>↓</w:t>
      </w:r>
    </w:p>
    <w:p w:rsidR="00AB4C7E" w:rsidRDefault="00AB4C7E" w:rsidP="009537BA">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Madagaskar</w:t>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t>C</w:t>
      </w:r>
      <w:r w:rsidR="003C388E">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t>C</w:t>
      </w:r>
      <w:r w:rsidR="000B67B6" w:rsidRPr="00860737">
        <w:rPr>
          <w:rFonts w:ascii="Arial" w:eastAsia="Arial Unicode MS" w:hAnsi="Arial" w:cs="Arial"/>
          <w:color w:val="1F497D"/>
          <w:sz w:val="22"/>
          <w:szCs w:val="22"/>
          <w:u w:color="000000"/>
        </w:rPr>
        <w:t>↓</w:t>
      </w:r>
    </w:p>
    <w:p w:rsidR="00AB4C7E" w:rsidRDefault="00AB4C7E" w:rsidP="009537BA">
      <w:pPr>
        <w:spacing w:line="270" w:lineRule="exact"/>
        <w:rPr>
          <w:rFonts w:ascii="Arial" w:eastAsia="Arial Unicode MS" w:hAnsi="Arial"/>
          <w:color w:val="1F497D"/>
          <w:sz w:val="18"/>
          <w:szCs w:val="18"/>
          <w:u w:color="000000"/>
        </w:rPr>
      </w:pPr>
      <w:r>
        <w:rPr>
          <w:rFonts w:ascii="Arial" w:eastAsia="Arial Unicode MS" w:hAnsi="Arial"/>
          <w:color w:val="1F497D"/>
          <w:sz w:val="18"/>
          <w:szCs w:val="18"/>
          <w:u w:color="000000"/>
        </w:rPr>
        <w:t>Güney Afrik</w:t>
      </w:r>
      <w:r w:rsidR="00E5567B">
        <w:rPr>
          <w:rFonts w:ascii="Arial" w:eastAsia="Arial Unicode MS" w:hAnsi="Arial"/>
          <w:color w:val="1F497D"/>
          <w:sz w:val="18"/>
          <w:szCs w:val="18"/>
          <w:u w:color="000000"/>
        </w:rPr>
        <w:t>a</w:t>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t>A4</w:t>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t>A4</w:t>
      </w:r>
      <w:r w:rsidR="000B67B6" w:rsidRPr="00860737">
        <w:rPr>
          <w:rFonts w:ascii="Arial" w:eastAsia="Arial Unicode MS" w:hAnsi="Arial" w:cs="Arial"/>
          <w:color w:val="1F497D"/>
          <w:sz w:val="22"/>
          <w:szCs w:val="22"/>
          <w:u w:color="000000"/>
        </w:rPr>
        <w:t>↓</w:t>
      </w:r>
    </w:p>
    <w:p w:rsidR="006852F2" w:rsidRPr="002C2518" w:rsidRDefault="002147E0" w:rsidP="002147E0">
      <w:pPr>
        <w:spacing w:line="270" w:lineRule="exact"/>
      </w:pPr>
      <w:r>
        <w:rPr>
          <w:rFonts w:ascii="Arial" w:eastAsia="Arial Unicode MS" w:hAnsi="Arial"/>
          <w:color w:val="1F497D"/>
          <w:sz w:val="18"/>
          <w:szCs w:val="18"/>
          <w:u w:color="000000"/>
        </w:rPr>
        <w:t>Tanzany</w:t>
      </w:r>
      <w:r w:rsidR="00E5567B">
        <w:rPr>
          <w:rFonts w:ascii="Arial" w:eastAsia="Arial Unicode MS" w:hAnsi="Arial"/>
          <w:color w:val="1F497D"/>
          <w:sz w:val="18"/>
          <w:szCs w:val="18"/>
          <w:u w:color="000000"/>
        </w:rPr>
        <w:t>a</w:t>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r>
      <w:r w:rsidR="003C388E">
        <w:rPr>
          <w:rFonts w:ascii="Arial" w:eastAsia="Arial Unicode MS" w:hAnsi="Arial"/>
          <w:color w:val="1F497D"/>
          <w:sz w:val="18"/>
          <w:szCs w:val="18"/>
          <w:u w:color="000000"/>
        </w:rPr>
        <w:tab/>
        <w:t>B</w:t>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r>
      <w:r w:rsidR="000B67B6">
        <w:rPr>
          <w:rFonts w:ascii="Arial" w:eastAsia="Arial Unicode MS" w:hAnsi="Arial"/>
          <w:color w:val="1F497D"/>
          <w:sz w:val="18"/>
          <w:szCs w:val="18"/>
          <w:u w:color="000000"/>
        </w:rPr>
        <w:tab/>
        <w:t>B</w:t>
      </w:r>
      <w:r w:rsidR="000B67B6" w:rsidRPr="00860737">
        <w:rPr>
          <w:rFonts w:ascii="Arial" w:eastAsia="Arial Unicode MS" w:hAnsi="Arial" w:cs="Arial"/>
          <w:color w:val="1F497D"/>
          <w:sz w:val="22"/>
          <w:szCs w:val="22"/>
          <w:u w:color="000000"/>
        </w:rPr>
        <w:t>↓</w:t>
      </w:r>
    </w:p>
    <w:p w:rsidR="00D90A6C" w:rsidRPr="002C2518" w:rsidRDefault="00D90A6C" w:rsidP="00231E53"/>
    <w:p w:rsidR="00D90A6C" w:rsidRPr="002C2518" w:rsidRDefault="00D90A6C" w:rsidP="00231E53"/>
    <w:p w:rsidR="006852F2" w:rsidRPr="002C2518" w:rsidRDefault="006852F2" w:rsidP="00231E53"/>
    <w:p w:rsidR="006852F2" w:rsidRPr="002C2518" w:rsidRDefault="006852F2" w:rsidP="00231E53"/>
    <w:p w:rsidR="006852F2" w:rsidRPr="002C2518" w:rsidRDefault="006852F2" w:rsidP="00231E53"/>
    <w:p w:rsidR="002B692F" w:rsidRPr="003C0D45" w:rsidRDefault="002B692F" w:rsidP="002B692F">
      <w:pPr>
        <w:tabs>
          <w:tab w:val="center" w:pos="4536"/>
          <w:tab w:val="right" w:pos="9072"/>
        </w:tabs>
        <w:jc w:val="both"/>
        <w:rPr>
          <w:rFonts w:ascii="Arial" w:hAnsi="Arial" w:cs="Arial"/>
          <w:b/>
          <w:bCs/>
          <w:sz w:val="20"/>
          <w:szCs w:val="20"/>
          <w:lang w:val="nl-NL"/>
        </w:rPr>
      </w:pPr>
      <w:r w:rsidRPr="003C0D45">
        <w:rPr>
          <w:rFonts w:ascii="Arial" w:hAnsi="Arial" w:cs="Arial"/>
          <w:b/>
          <w:bCs/>
          <w:sz w:val="20"/>
          <w:szCs w:val="20"/>
          <w:lang w:val="nl-NL"/>
        </w:rPr>
        <w:t>İLETİŞİM VE BİLGİ İÇİN</w:t>
      </w:r>
    </w:p>
    <w:p w:rsidR="002B692F" w:rsidRPr="00113F5B" w:rsidRDefault="002B692F" w:rsidP="002B692F">
      <w:pPr>
        <w:tabs>
          <w:tab w:val="center" w:pos="4536"/>
          <w:tab w:val="right" w:pos="9072"/>
        </w:tabs>
        <w:jc w:val="both"/>
        <w:rPr>
          <w:rFonts w:ascii="Arial" w:eastAsia="Times New Roman" w:hAnsi="Arial" w:cs="Arial"/>
          <w:color w:val="000000"/>
          <w:sz w:val="20"/>
          <w:szCs w:val="20"/>
        </w:rPr>
      </w:pPr>
      <w:r w:rsidRPr="003C0D45">
        <w:rPr>
          <w:rFonts w:ascii="Arial" w:hAnsi="Arial" w:cs="Arial"/>
          <w:bCs/>
          <w:sz w:val="20"/>
          <w:szCs w:val="20"/>
          <w:lang w:val="it-IT"/>
        </w:rPr>
        <w:t>Pelin BAYRAM – T. 0</w:t>
      </w:r>
      <w:r w:rsidRPr="003C0D45">
        <w:rPr>
          <w:rFonts w:ascii="Arial" w:eastAsia="Times New Roman" w:hAnsi="Arial" w:cs="Arial"/>
          <w:color w:val="000000"/>
          <w:sz w:val="20"/>
          <w:szCs w:val="20"/>
        </w:rPr>
        <w:t xml:space="preserve">530 347 6471  </w:t>
      </w:r>
      <w:hyperlink r:id="rId8" w:history="1">
        <w:r w:rsidRPr="003C0D45">
          <w:rPr>
            <w:rStyle w:val="Hyperlink"/>
            <w:rFonts w:ascii="Arial" w:eastAsia="Times New Roman" w:hAnsi="Arial" w:cs="Arial"/>
            <w:sz w:val="20"/>
            <w:szCs w:val="20"/>
          </w:rPr>
          <w:t>pelin@ifmmedya.com</w:t>
        </w:r>
      </w:hyperlink>
    </w:p>
    <w:p w:rsidR="006852F2" w:rsidRDefault="006852F2" w:rsidP="00231E53"/>
    <w:p w:rsidR="002B692F" w:rsidRDefault="002B692F" w:rsidP="002B692F">
      <w:pPr>
        <w:pStyle w:val="Footer"/>
        <w:spacing w:line="200" w:lineRule="exact"/>
        <w:ind w:left="101"/>
        <w:rPr>
          <w:rFonts w:ascii="Arial" w:hAnsi="Arial" w:cs="Arial"/>
          <w:b/>
          <w:sz w:val="18"/>
          <w:szCs w:val="18"/>
        </w:rPr>
      </w:pPr>
    </w:p>
    <w:p w:rsidR="002B692F" w:rsidRDefault="002B692F" w:rsidP="002B692F">
      <w:pPr>
        <w:pStyle w:val="Footer"/>
        <w:spacing w:line="200" w:lineRule="exact"/>
        <w:ind w:left="101"/>
        <w:rPr>
          <w:rFonts w:ascii="Arial" w:hAnsi="Arial" w:cs="Arial"/>
          <w:b/>
          <w:sz w:val="18"/>
          <w:szCs w:val="18"/>
        </w:rPr>
      </w:pPr>
    </w:p>
    <w:p w:rsidR="002B692F" w:rsidRDefault="002B692F" w:rsidP="002B692F">
      <w:pPr>
        <w:pStyle w:val="Footer"/>
        <w:spacing w:line="200" w:lineRule="exact"/>
        <w:ind w:left="101"/>
        <w:rPr>
          <w:rFonts w:ascii="Arial" w:hAnsi="Arial" w:cs="Arial"/>
          <w:b/>
          <w:sz w:val="18"/>
          <w:szCs w:val="18"/>
        </w:rPr>
      </w:pPr>
    </w:p>
    <w:p w:rsidR="002B692F" w:rsidRDefault="002B692F" w:rsidP="002B692F">
      <w:pPr>
        <w:pStyle w:val="Footer"/>
        <w:spacing w:line="200" w:lineRule="exact"/>
        <w:ind w:left="101"/>
        <w:rPr>
          <w:rFonts w:ascii="Arial" w:hAnsi="Arial" w:cs="Arial"/>
          <w:b/>
          <w:sz w:val="18"/>
          <w:szCs w:val="18"/>
        </w:rPr>
      </w:pPr>
    </w:p>
    <w:p w:rsidR="002B692F" w:rsidRDefault="002B692F" w:rsidP="002B692F">
      <w:pPr>
        <w:pStyle w:val="Footer"/>
        <w:spacing w:line="200" w:lineRule="exact"/>
        <w:ind w:left="101"/>
        <w:rPr>
          <w:rFonts w:ascii="Arial" w:hAnsi="Arial" w:cs="Arial"/>
          <w:b/>
          <w:sz w:val="18"/>
          <w:szCs w:val="18"/>
        </w:rPr>
      </w:pPr>
    </w:p>
    <w:p w:rsidR="002B692F" w:rsidRDefault="002B692F" w:rsidP="002B692F">
      <w:pPr>
        <w:pStyle w:val="Footer"/>
        <w:spacing w:line="200" w:lineRule="exact"/>
        <w:ind w:left="101"/>
        <w:rPr>
          <w:rFonts w:ascii="Arial" w:hAnsi="Arial" w:cs="Arial"/>
          <w:b/>
          <w:sz w:val="18"/>
          <w:szCs w:val="18"/>
        </w:rPr>
      </w:pPr>
    </w:p>
    <w:p w:rsidR="002B692F" w:rsidRDefault="002B692F" w:rsidP="002B692F">
      <w:pPr>
        <w:pStyle w:val="Footer"/>
        <w:spacing w:line="200" w:lineRule="exact"/>
        <w:ind w:left="101"/>
        <w:rPr>
          <w:rFonts w:ascii="Arial" w:hAnsi="Arial" w:cs="Arial"/>
          <w:b/>
          <w:sz w:val="18"/>
          <w:szCs w:val="18"/>
        </w:rPr>
      </w:pPr>
    </w:p>
    <w:p w:rsidR="002B692F" w:rsidRDefault="002B692F" w:rsidP="002B692F">
      <w:pPr>
        <w:pStyle w:val="Footer"/>
        <w:spacing w:line="200" w:lineRule="exact"/>
        <w:ind w:left="101"/>
        <w:rPr>
          <w:rFonts w:ascii="Arial" w:hAnsi="Arial" w:cs="Arial"/>
          <w:b/>
          <w:sz w:val="18"/>
          <w:szCs w:val="18"/>
        </w:rPr>
      </w:pPr>
    </w:p>
    <w:p w:rsidR="002B692F" w:rsidRDefault="002B692F" w:rsidP="002B692F">
      <w:pPr>
        <w:pStyle w:val="Footer"/>
        <w:spacing w:line="200" w:lineRule="exact"/>
        <w:ind w:left="101"/>
        <w:rPr>
          <w:rFonts w:ascii="Arial" w:hAnsi="Arial" w:cs="Arial"/>
          <w:b/>
          <w:sz w:val="18"/>
          <w:szCs w:val="18"/>
        </w:rPr>
      </w:pPr>
    </w:p>
    <w:p w:rsidR="002B692F" w:rsidRPr="003C7291" w:rsidRDefault="002B692F" w:rsidP="002B692F">
      <w:pPr>
        <w:pStyle w:val="Footer"/>
        <w:spacing w:line="200" w:lineRule="exact"/>
        <w:ind w:left="101"/>
        <w:rPr>
          <w:rFonts w:ascii="Arial" w:hAnsi="Arial" w:cs="Arial"/>
          <w:sz w:val="18"/>
          <w:szCs w:val="18"/>
        </w:rPr>
      </w:pPr>
      <w:r w:rsidRPr="003C7291">
        <w:rPr>
          <w:rFonts w:ascii="Arial" w:hAnsi="Arial" w:cs="Arial"/>
          <w:b/>
          <w:sz w:val="18"/>
          <w:szCs w:val="18"/>
        </w:rPr>
        <w:lastRenderedPageBreak/>
        <w:t xml:space="preserve">Coface Hakkında </w:t>
      </w:r>
    </w:p>
    <w:p w:rsidR="002B692F" w:rsidRPr="003C7291" w:rsidRDefault="002B692F" w:rsidP="002B692F">
      <w:pPr>
        <w:pStyle w:val="Footer"/>
        <w:spacing w:line="200" w:lineRule="exact"/>
        <w:ind w:left="101"/>
        <w:rPr>
          <w:rFonts w:ascii="Arial" w:hAnsi="Arial" w:cs="Arial"/>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25"/>
      </w:tblGrid>
      <w:tr w:rsidR="00F026D9" w:rsidTr="00F026D9">
        <w:trPr>
          <w:trHeight w:val="3795"/>
        </w:trPr>
        <w:tc>
          <w:tcPr>
            <w:tcW w:w="8325" w:type="dxa"/>
            <w:tcBorders>
              <w:top w:val="nil"/>
              <w:left w:val="nil"/>
              <w:bottom w:val="nil"/>
              <w:right w:val="nil"/>
            </w:tcBorders>
            <w:shd w:val="clear" w:color="auto" w:fill="DBE5F1" w:themeFill="accent1" w:themeFillTint="33"/>
          </w:tcPr>
          <w:p w:rsidR="00F026D9" w:rsidRDefault="00F026D9" w:rsidP="00F026D9">
            <w:pPr>
              <w:pStyle w:val="textecontact"/>
              <w:spacing w:before="0" w:after="0"/>
              <w:ind w:left="142" w:right="142"/>
              <w:rPr>
                <w:rFonts w:ascii="Arial" w:hAnsi="Arial"/>
                <w:sz w:val="18"/>
              </w:rPr>
            </w:pPr>
          </w:p>
          <w:p w:rsidR="00F026D9" w:rsidRPr="003C7291" w:rsidRDefault="00F026D9" w:rsidP="00F026D9">
            <w:pPr>
              <w:pStyle w:val="textecontact"/>
              <w:spacing w:before="0" w:after="0"/>
              <w:ind w:left="142" w:right="142"/>
              <w:rPr>
                <w:rFonts w:ascii="Arial" w:hAnsi="Arial" w:cs="Arial"/>
                <w:sz w:val="18"/>
                <w:szCs w:val="18"/>
              </w:rPr>
            </w:pPr>
            <w:r w:rsidRPr="003C7291">
              <w:rPr>
                <w:rFonts w:ascii="Arial" w:hAnsi="Arial"/>
                <w:sz w:val="18"/>
              </w:rPr>
              <w:t xml:space="preserve">Ticari alacak sigortası alanında bir dünya lideri olan Coface Grubu, dünyanın dört bir yanındaki şirketlere hem iç pazardaki hem de ihracat pazarlarındaki müşterilerinin finansal temerrüt riskinden korunmaları için çözümler sunmaktadır. 2014 yılında Grup 4.406 çalışanının desteği ile 1 milyar 441 milyon €’luk  konsolide ciro açıklamıştır. Doğrudan veya dolaylı olarak 98 ülkede faaliyet gösteren Grup, 200’den fazla ülkedeki 40.000 şirketin işlemlerini güvence altına almaktadır. Coface, şirketlerin ödeme davranışları hakkındaki bilgi birikimine ve müşterilerin ve borçlularının yakınında konumlanan 350 risk değerlendirme uzmanının uzmanlık birikimine dayalı olarak her üç ayda bir 160 ülkeye yönelik ülke risk değerlendirmeleri yayınlamaktadır. </w:t>
            </w:r>
          </w:p>
          <w:p w:rsidR="00F026D9" w:rsidRPr="003C7291" w:rsidRDefault="00F026D9" w:rsidP="00F026D9">
            <w:pPr>
              <w:ind w:left="142" w:right="141"/>
              <w:rPr>
                <w:rFonts w:ascii="Arial" w:hAnsi="Arial"/>
                <w:sz w:val="18"/>
              </w:rPr>
            </w:pPr>
            <w:r w:rsidRPr="003C7291">
              <w:rPr>
                <w:rFonts w:ascii="Arial" w:hAnsi="Arial"/>
                <w:sz w:val="18"/>
              </w:rPr>
              <w:t>Coface Fransa’da Fransa Devleti adına kamu ihracat garantilerini yönetmektedir.</w:t>
            </w:r>
          </w:p>
          <w:p w:rsidR="00F026D9" w:rsidRPr="003C7291" w:rsidRDefault="00F026D9" w:rsidP="00F026D9">
            <w:pPr>
              <w:pStyle w:val="Footer"/>
              <w:spacing w:line="200" w:lineRule="exact"/>
              <w:ind w:left="101"/>
              <w:rPr>
                <w:rFonts w:ascii="Arial" w:hAnsi="Arial" w:cs="Arial"/>
                <w:b/>
                <w:sz w:val="18"/>
                <w:szCs w:val="18"/>
              </w:rPr>
            </w:pPr>
          </w:p>
          <w:p w:rsidR="00F026D9" w:rsidRPr="003C7291" w:rsidRDefault="00F026D9" w:rsidP="00F026D9">
            <w:pPr>
              <w:spacing w:before="60" w:after="60" w:line="240" w:lineRule="atLeast"/>
              <w:ind w:right="113"/>
              <w:rPr>
                <w:rFonts w:ascii="Arial" w:hAnsi="Arial" w:cs="Arial"/>
                <w:color w:val="0000FF"/>
                <w:sz w:val="18"/>
                <w:szCs w:val="18"/>
                <w:u w:val="single"/>
              </w:rPr>
            </w:pPr>
            <w:r w:rsidRPr="003C7291">
              <w:rPr>
                <w:noProof/>
                <w:lang w:val="en-US" w:eastAsia="en-US"/>
              </w:rPr>
              <w:drawing>
                <wp:anchor distT="0" distB="0" distL="114300" distR="114300" simplePos="0" relativeHeight="251657728" behindDoc="0" locked="0" layoutInCell="1" allowOverlap="1" wp14:anchorId="67C52DF2" wp14:editId="12808418">
                  <wp:simplePos x="0" y="0"/>
                  <wp:positionH relativeFrom="column">
                    <wp:posOffset>4621530</wp:posOffset>
                  </wp:positionH>
                  <wp:positionV relativeFrom="paragraph">
                    <wp:posOffset>171450</wp:posOffset>
                  </wp:positionV>
                  <wp:extent cx="519430" cy="514350"/>
                  <wp:effectExtent l="0" t="0" r="0" b="0"/>
                  <wp:wrapNone/>
                  <wp:docPr id="6" name="Image 6"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Pr="003C7291">
                <w:rPr>
                  <w:rStyle w:val="Hyperlink"/>
                  <w:rFonts w:ascii="Arial" w:hAnsi="Arial" w:cs="Arial"/>
                  <w:sz w:val="18"/>
                  <w:szCs w:val="18"/>
                </w:rPr>
                <w:t>www.coface.com</w:t>
              </w:r>
            </w:hyperlink>
          </w:p>
          <w:p w:rsidR="00F026D9" w:rsidRPr="003C7291" w:rsidRDefault="00F026D9" w:rsidP="00F026D9">
            <w:pPr>
              <w:spacing w:before="60" w:after="60" w:line="240" w:lineRule="atLeast"/>
              <w:ind w:right="113"/>
              <w:rPr>
                <w:rFonts w:ascii="Arial" w:hAnsi="Arial" w:cs="Arial"/>
                <w:color w:val="0000FF"/>
                <w:sz w:val="18"/>
                <w:szCs w:val="18"/>
                <w:u w:val="single"/>
              </w:rPr>
            </w:pPr>
          </w:p>
          <w:p w:rsidR="00F026D9" w:rsidRPr="003C7291" w:rsidRDefault="00F026D9" w:rsidP="00F026D9">
            <w:pPr>
              <w:tabs>
                <w:tab w:val="left" w:pos="8202"/>
              </w:tabs>
              <w:autoSpaceDE w:val="0"/>
              <w:autoSpaceDN w:val="0"/>
              <w:adjustRightInd w:val="0"/>
              <w:spacing w:line="240" w:lineRule="atLeast"/>
              <w:ind w:left="348" w:right="1587"/>
              <w:rPr>
                <w:rFonts w:ascii="Arial" w:hAnsi="Arial" w:cs="Arial"/>
                <w:sz w:val="18"/>
                <w:szCs w:val="18"/>
              </w:rPr>
            </w:pPr>
            <w:r w:rsidRPr="003C7291">
              <w:rPr>
                <w:rFonts w:ascii="Arial" w:hAnsi="Arial" w:cs="Arial"/>
                <w:sz w:val="18"/>
                <w:szCs w:val="18"/>
              </w:rPr>
              <w:t>Coface SA. Euronext Paris – Compartment A’da işlem görmektedir.</w:t>
            </w:r>
          </w:p>
          <w:p w:rsidR="00F026D9" w:rsidRPr="002C2518" w:rsidRDefault="00F026D9" w:rsidP="00F026D9">
            <w:r w:rsidRPr="003C7291">
              <w:rPr>
                <w:rFonts w:ascii="Arial" w:hAnsi="Arial" w:cs="Arial"/>
                <w:sz w:val="18"/>
                <w:szCs w:val="18"/>
              </w:rPr>
              <w:t>ISIN: FR0010667147 / Ticker: COFA</w:t>
            </w:r>
          </w:p>
          <w:p w:rsidR="00F026D9" w:rsidRDefault="00F026D9" w:rsidP="002B692F">
            <w:pPr>
              <w:pStyle w:val="textecontact"/>
              <w:spacing w:before="0" w:after="0"/>
              <w:ind w:right="142"/>
              <w:rPr>
                <w:rFonts w:ascii="Arial" w:hAnsi="Arial"/>
                <w:sz w:val="18"/>
              </w:rPr>
            </w:pPr>
          </w:p>
        </w:tc>
      </w:tr>
    </w:tbl>
    <w:p w:rsidR="006852F2" w:rsidRPr="002C2518" w:rsidRDefault="006852F2" w:rsidP="00231E53"/>
    <w:p w:rsidR="00093894" w:rsidRPr="002C2518" w:rsidRDefault="00093894" w:rsidP="00274F36"/>
    <w:sectPr w:rsidR="00093894" w:rsidRPr="002C2518" w:rsidSect="006E5807">
      <w:headerReference w:type="default" r:id="rId11"/>
      <w:headerReference w:type="first" r:id="rId12"/>
      <w:footerReference w:type="first" r:id="rId13"/>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7C" w:rsidRDefault="002B1A7C" w:rsidP="00D67F85">
      <w:r>
        <w:separator/>
      </w:r>
    </w:p>
  </w:endnote>
  <w:endnote w:type="continuationSeparator" w:id="0">
    <w:p w:rsidR="002B1A7C" w:rsidRDefault="002B1A7C"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8F" w:rsidRPr="000F6882" w:rsidRDefault="0060658F" w:rsidP="00422B4C">
    <w:pPr>
      <w:pStyle w:val="Footer"/>
      <w:spacing w:line="180" w:lineRule="exact"/>
      <w:rPr>
        <w:color w:val="17274B"/>
        <w:sz w:val="14"/>
        <w:szCs w:val="14"/>
      </w:rPr>
    </w:pPr>
    <w:r>
      <w:rPr>
        <w:color w:val="17274B"/>
        <w:sz w:val="14"/>
        <w:szCs w:val="14"/>
      </w:rPr>
      <w:fldChar w:fldCharType="begin"/>
    </w:r>
    <w:r>
      <w:rPr>
        <w:color w:val="17274B"/>
        <w:sz w:val="14"/>
        <w:szCs w:val="14"/>
      </w:rPr>
      <w:instrText xml:space="preserve"> MACROBUTTON Remplir POSTAL ADDRESS </w:instrText>
    </w:r>
    <w:r>
      <w:rPr>
        <w:color w:val="17274B"/>
        <w:sz w:val="14"/>
        <w:szCs w:val="14"/>
      </w:rPr>
      <w:fldChar w:fldCharType="end"/>
    </w:r>
  </w:p>
  <w:p w:rsidR="0060658F" w:rsidRPr="000F6882" w:rsidRDefault="0060658F" w:rsidP="00422B4C">
    <w:pPr>
      <w:pStyle w:val="Footer"/>
      <w:spacing w:line="180" w:lineRule="exact"/>
      <w:rPr>
        <w:color w:val="17274B"/>
        <w:sz w:val="14"/>
        <w:szCs w:val="14"/>
      </w:rPr>
    </w:pPr>
    <w:r w:rsidRPr="000F6882">
      <w:rPr>
        <w:color w:val="17274B"/>
        <w:sz w:val="14"/>
        <w:szCs w:val="14"/>
      </w:rPr>
      <w:t xml:space="preserve">12 COURS MICHELET - </w:t>
    </w:r>
    <w:smartTag w:uri="urn:schemas-microsoft-com:office:smarttags" w:element="PersonName">
      <w:smartTagPr>
        <w:attr w:name="ProductID" w:val="LA DÉFENSE"/>
      </w:smartTagPr>
      <w:r w:rsidRPr="000F6882">
        <w:rPr>
          <w:color w:val="17274B"/>
          <w:sz w:val="14"/>
          <w:szCs w:val="14"/>
        </w:rPr>
        <w:t>LA DÉFENSE</w:t>
      </w:r>
    </w:smartTag>
    <w:r w:rsidRPr="000F6882">
      <w:rPr>
        <w:color w:val="17274B"/>
        <w:sz w:val="14"/>
        <w:szCs w:val="14"/>
      </w:rPr>
      <w:t xml:space="preserve"> 10 - </w:t>
    </w:r>
    <w:smartTag w:uri="urn:schemas-microsoft-com:office:smarttags" w:element="phone">
      <w:smartTagPr>
        <w:attr w:name="ls" w:val="trans"/>
      </w:smartTagPr>
      <w:r w:rsidRPr="000F6882">
        <w:rPr>
          <w:color w:val="17274B"/>
          <w:sz w:val="14"/>
          <w:szCs w:val="14"/>
        </w:rPr>
        <w:t>92800</w:t>
      </w:r>
    </w:smartTag>
    <w:r w:rsidRPr="000F6882">
      <w:rPr>
        <w:color w:val="17274B"/>
        <w:sz w:val="14"/>
        <w:szCs w:val="14"/>
      </w:rPr>
      <w:t xml:space="preserve"> PUTEAUX - FRANCE</w:t>
    </w:r>
  </w:p>
  <w:p w:rsidR="0060658F" w:rsidRPr="000F6882" w:rsidRDefault="0060658F" w:rsidP="00422B4C">
    <w:pPr>
      <w:pStyle w:val="Footer"/>
      <w:spacing w:line="180" w:lineRule="exact"/>
      <w:rPr>
        <w:color w:val="17274B"/>
        <w:sz w:val="14"/>
        <w:szCs w:val="14"/>
      </w:rPr>
    </w:pPr>
    <w:r w:rsidRPr="000F6882">
      <w:rPr>
        <w:color w:val="17274B"/>
        <w:sz w:val="14"/>
        <w:szCs w:val="14"/>
      </w:rPr>
      <w:t xml:space="preserve">T. </w:t>
    </w:r>
    <w:r>
      <w:rPr>
        <w:color w:val="17274B"/>
        <w:sz w:val="14"/>
        <w:szCs w:val="14"/>
      </w:rPr>
      <w:fldChar w:fldCharType="begin"/>
    </w:r>
    <w:r>
      <w:rPr>
        <w:color w:val="17274B"/>
        <w:sz w:val="14"/>
        <w:szCs w:val="14"/>
      </w:rPr>
      <w:instrText xml:space="preserve"> MACROBUTTON Remplir +33 (0)1 00 00 00 00  </w:instrText>
    </w:r>
    <w:r>
      <w:rPr>
        <w:color w:val="17274B"/>
        <w:sz w:val="14"/>
        <w:szCs w:val="14"/>
      </w:rPr>
      <w:fldChar w:fldCharType="end"/>
    </w:r>
    <w:r w:rsidRPr="000F6882">
      <w:rPr>
        <w:color w:val="17274B"/>
        <w:sz w:val="14"/>
        <w:szCs w:val="14"/>
      </w:rPr>
      <w:t xml:space="preserve">- M. </w:t>
    </w:r>
    <w:r>
      <w:rPr>
        <w:color w:val="17274B"/>
        <w:sz w:val="14"/>
        <w:szCs w:val="14"/>
      </w:rPr>
      <w:fldChar w:fldCharType="begin"/>
    </w:r>
    <w:r>
      <w:rPr>
        <w:color w:val="17274B"/>
        <w:sz w:val="14"/>
        <w:szCs w:val="14"/>
      </w:rPr>
      <w:instrText xml:space="preserve"> MACROBUTTON Remplir +33 (0)6 00 00 00 00 </w:instrText>
    </w:r>
    <w:r>
      <w:rPr>
        <w:color w:val="17274B"/>
        <w:sz w:val="14"/>
        <w:szCs w:val="14"/>
      </w:rPr>
      <w:fldChar w:fldCharType="end"/>
    </w:r>
    <w:r w:rsidRPr="000F6882">
      <w:rPr>
        <w:color w:val="17274B"/>
        <w:sz w:val="14"/>
        <w:szCs w:val="14"/>
      </w:rPr>
      <w:t xml:space="preserve"> - F. </w:t>
    </w:r>
    <w:r>
      <w:rPr>
        <w:color w:val="17274B"/>
        <w:sz w:val="14"/>
        <w:szCs w:val="14"/>
      </w:rPr>
      <w:fldChar w:fldCharType="begin"/>
    </w:r>
    <w:r>
      <w:rPr>
        <w:color w:val="17274B"/>
        <w:sz w:val="14"/>
        <w:szCs w:val="14"/>
      </w:rPr>
      <w:instrText xml:space="preserve"> MACROBUTTON Remplir +33 (0)1 00 00 00 00 </w:instrText>
    </w:r>
    <w:r>
      <w:rPr>
        <w:color w:val="17274B"/>
        <w:sz w:val="14"/>
        <w:szCs w:val="14"/>
      </w:rPr>
      <w:fldChar w:fldCharType="end"/>
    </w:r>
  </w:p>
  <w:p w:rsidR="0060658F" w:rsidRPr="000F6882" w:rsidRDefault="0060658F" w:rsidP="00422B4C">
    <w:pPr>
      <w:pStyle w:val="Footer"/>
      <w:spacing w:line="180" w:lineRule="exact"/>
      <w:rPr>
        <w:color w:val="17274B"/>
        <w:sz w:val="14"/>
        <w:szCs w:val="14"/>
      </w:rPr>
    </w:pPr>
    <w:r w:rsidRPr="000F6882">
      <w:rPr>
        <w:color w:val="17274B"/>
        <w:sz w:val="14"/>
        <w:szCs w:val="14"/>
      </w:rPr>
      <w:t>www.coface.fr</w:t>
    </w:r>
  </w:p>
  <w:p w:rsidR="0060658F" w:rsidRPr="000F6882" w:rsidRDefault="0060658F" w:rsidP="00422B4C">
    <w:pPr>
      <w:pStyle w:val="Footer"/>
      <w:spacing w:line="180" w:lineRule="exact"/>
      <w:rPr>
        <w:color w:val="17274B"/>
        <w:sz w:val="12"/>
        <w:szCs w:val="12"/>
      </w:rPr>
    </w:pPr>
    <w:r w:rsidRPr="000F6882">
      <w:rPr>
        <w:color w:val="17274B"/>
        <w:sz w:val="12"/>
        <w:szCs w:val="12"/>
      </w:rPr>
      <w:t xml:space="preserve">COMPAGNIE FRANÇAISE D’ASSURANCE POUR LE COMMERCE EXTÉRIEUR </w:t>
    </w:r>
  </w:p>
  <w:p w:rsidR="0060658F" w:rsidRPr="000F6882" w:rsidRDefault="0060658F" w:rsidP="000F6882">
    <w:pPr>
      <w:pStyle w:val="Footer"/>
      <w:spacing w:line="180" w:lineRule="exact"/>
      <w:rPr>
        <w:color w:val="17274B"/>
        <w:sz w:val="12"/>
        <w:szCs w:val="12"/>
      </w:rPr>
    </w:pPr>
    <w:r w:rsidRPr="000F6882">
      <w:rPr>
        <w:color w:val="17274B"/>
        <w:sz w:val="12"/>
        <w:szCs w:val="12"/>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7C" w:rsidRDefault="002B1A7C" w:rsidP="00D67F85">
      <w:r>
        <w:separator/>
      </w:r>
    </w:p>
  </w:footnote>
  <w:footnote w:type="continuationSeparator" w:id="0">
    <w:p w:rsidR="002B1A7C" w:rsidRDefault="002B1A7C"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8F" w:rsidRDefault="00D90A6C">
    <w:pPr>
      <w:pStyle w:val="Header"/>
    </w:pPr>
    <w:r w:rsidRPr="00DC7D73">
      <w:rPr>
        <w:rFonts w:ascii="Times New Roman" w:eastAsia="Times New Roman" w:hAnsi="Times New Roman"/>
        <w:noProof/>
        <w:lang w:val="en-US" w:eastAsia="en-US"/>
      </w:rPr>
      <mc:AlternateContent>
        <mc:Choice Requires="wps">
          <w:drawing>
            <wp:anchor distT="0" distB="0" distL="114935" distR="114935" simplePos="0" relativeHeight="251660800" behindDoc="1" locked="0" layoutInCell="1" allowOverlap="1" wp14:anchorId="208272FF" wp14:editId="47826A24">
              <wp:simplePos x="0" y="0"/>
              <wp:positionH relativeFrom="column">
                <wp:posOffset>-11430</wp:posOffset>
              </wp:positionH>
              <wp:positionV relativeFrom="page">
                <wp:posOffset>1555750</wp:posOffset>
              </wp:positionV>
              <wp:extent cx="5755005" cy="330200"/>
              <wp:effectExtent l="0" t="0" r="0" b="0"/>
              <wp:wrapNone/>
              <wp:docPr id="3"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A6C" w:rsidRDefault="00A94932" w:rsidP="00D90A6C">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BASIN</w:t>
                          </w:r>
                          <w:r w:rsidR="00D90A6C">
                            <w:rPr>
                              <w:rFonts w:ascii="Arial" w:hAnsi="Arial" w:cs="Arial"/>
                              <w:b/>
                              <w:bCs/>
                              <w:color w:val="4FA76E"/>
                              <w:spacing w:val="518"/>
                              <w:sz w:val="26"/>
                              <w:szCs w:val="26"/>
                            </w:rPr>
                            <w:t xml:space="preserve"> </w:t>
                          </w:r>
                          <w:r>
                            <w:rPr>
                              <w:rFonts w:ascii="Arial" w:hAnsi="Arial" w:cs="Arial"/>
                              <w:b/>
                              <w:bCs/>
                              <w:color w:val="4FA76E"/>
                              <w:spacing w:val="518"/>
                              <w:sz w:val="26"/>
                              <w:szCs w:val="26"/>
                            </w:rPr>
                            <w:t>BÜ</w:t>
                          </w:r>
                          <w:r w:rsidR="00D90A6C">
                            <w:rPr>
                              <w:rFonts w:ascii="Arial" w:hAnsi="Arial" w:cs="Arial"/>
                              <w:b/>
                              <w:bCs/>
                              <w:color w:val="4FA76E"/>
                              <w:spacing w:val="518"/>
                              <w:sz w:val="26"/>
                              <w:szCs w:val="26"/>
                            </w:rPr>
                            <w:t>L</w:t>
                          </w:r>
                          <w:r>
                            <w:rPr>
                              <w:rFonts w:ascii="Arial" w:hAnsi="Arial" w:cs="Arial"/>
                              <w:b/>
                              <w:bCs/>
                              <w:color w:val="4FA76E"/>
                              <w:spacing w:val="518"/>
                              <w:sz w:val="26"/>
                              <w:szCs w:val="26"/>
                            </w:rPr>
                            <w:t>TENİ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272FF" id="_x0000_t202" coordsize="21600,21600" o:spt="202" path="m,l,21600r21600,l21600,xe">
              <v:stroke joinstyle="miter"/>
              <v:path gradientshapeok="t" o:connecttype="rect"/>
            </v:shapetype>
            <v:shape id="Zone de texte 9" o:spid="_x0000_s1026" type="#_x0000_t202" style="position:absolute;margin-left:-.9pt;margin-top:122.5pt;width:453.15pt;height:2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" stroked="f">
              <v:fill opacity="0"/>
              <v:textbox inset="0,0,0,0">
                <w:txbxContent>
                  <w:p w:rsidR="00D90A6C" w:rsidRDefault="00A94932" w:rsidP="00D90A6C">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BASIN</w:t>
                    </w:r>
                    <w:r w:rsidR="00D90A6C">
                      <w:rPr>
                        <w:rFonts w:ascii="Arial" w:hAnsi="Arial" w:cs="Arial"/>
                        <w:b/>
                        <w:bCs/>
                        <w:color w:val="4FA76E"/>
                        <w:spacing w:val="518"/>
                        <w:sz w:val="26"/>
                        <w:szCs w:val="26"/>
                      </w:rPr>
                      <w:t xml:space="preserve"> </w:t>
                    </w:r>
                    <w:r>
                      <w:rPr>
                        <w:rFonts w:ascii="Arial" w:hAnsi="Arial" w:cs="Arial"/>
                        <w:b/>
                        <w:bCs/>
                        <w:color w:val="4FA76E"/>
                        <w:spacing w:val="518"/>
                        <w:sz w:val="26"/>
                        <w:szCs w:val="26"/>
                      </w:rPr>
                      <w:t>BÜ</w:t>
                    </w:r>
                    <w:r w:rsidR="00D90A6C">
                      <w:rPr>
                        <w:rFonts w:ascii="Arial" w:hAnsi="Arial" w:cs="Arial"/>
                        <w:b/>
                        <w:bCs/>
                        <w:color w:val="4FA76E"/>
                        <w:spacing w:val="518"/>
                        <w:sz w:val="26"/>
                        <w:szCs w:val="26"/>
                      </w:rPr>
                      <w:t>L</w:t>
                    </w:r>
                    <w:r>
                      <w:rPr>
                        <w:rFonts w:ascii="Arial" w:hAnsi="Arial" w:cs="Arial"/>
                        <w:b/>
                        <w:bCs/>
                        <w:color w:val="4FA76E"/>
                        <w:spacing w:val="518"/>
                        <w:sz w:val="26"/>
                        <w:szCs w:val="26"/>
                      </w:rPr>
                      <w:t>TENİ</w:t>
                    </w:r>
                  </w:p>
                </w:txbxContent>
              </v:textbox>
              <w10:wrap anchory="page"/>
            </v:shape>
          </w:pict>
        </mc:Fallback>
      </mc:AlternateContent>
    </w:r>
    <w:r w:rsidR="0060658F">
      <w:rPr>
        <w:noProof/>
        <w:lang w:val="en-US" w:eastAsia="en-US"/>
      </w:rPr>
      <w:drawing>
        <wp:anchor distT="0" distB="0" distL="114300" distR="114300" simplePos="0" relativeHeight="251655680" behindDoc="1" locked="0" layoutInCell="1" allowOverlap="1" wp14:anchorId="3224CA88" wp14:editId="487A8D10">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60658F">
      <w:rPr>
        <w:noProof/>
        <w:lang w:val="en-US" w:eastAsia="en-US"/>
      </w:rPr>
      <mc:AlternateContent>
        <mc:Choice Requires="wps">
          <w:drawing>
            <wp:anchor distT="4294967291" distB="4294967291" distL="114300" distR="114300" simplePos="0" relativeHeight="251656704" behindDoc="0" locked="0" layoutInCell="1" allowOverlap="1">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99EE72" id="Connecteur droit 25" o:spid="_x0000_s1026" style="position:absolute;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8F" w:rsidRDefault="0060658F">
    <w:pPr>
      <w:pStyle w:val="Header"/>
    </w:pPr>
    <w:r>
      <w:rPr>
        <w:noProof/>
        <w:lang w:val="en-US" w:eastAsia="en-US"/>
      </w:rPr>
      <w:drawing>
        <wp:anchor distT="0" distB="0" distL="114300" distR="114300" simplePos="0" relativeHeight="251658752" behindDoc="1" locked="0" layoutInCell="1" allowOverlap="1">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294967291" distB="4294967291" distL="114300" distR="114300" simplePos="0" relativeHeight="251657728" behindDoc="0" locked="0" layoutInCell="1" allowOverlap="1">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E56F9B" id="Connecteur droit 29"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1333ACC"/>
    <w:multiLevelType w:val="hybridMultilevel"/>
    <w:tmpl w:val="CE0A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FA081D"/>
    <w:multiLevelType w:val="hybridMultilevel"/>
    <w:tmpl w:val="61324D1E"/>
    <w:lvl w:ilvl="0" w:tplc="E7181F4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7127427"/>
    <w:multiLevelType w:val="hybridMultilevel"/>
    <w:tmpl w:val="8C147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5B0DA3"/>
    <w:multiLevelType w:val="hybridMultilevel"/>
    <w:tmpl w:val="A650D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653280"/>
    <w:multiLevelType w:val="hybridMultilevel"/>
    <w:tmpl w:val="26E454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3A60604"/>
    <w:multiLevelType w:val="hybridMultilevel"/>
    <w:tmpl w:val="76E001E8"/>
    <w:lvl w:ilvl="0" w:tplc="6AD4A5D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EA12EC4"/>
    <w:multiLevelType w:val="hybridMultilevel"/>
    <w:tmpl w:val="EDE2BFCA"/>
    <w:lvl w:ilvl="0" w:tplc="7FDCB9B6">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A103B7"/>
    <w:multiLevelType w:val="hybridMultilevel"/>
    <w:tmpl w:val="57EED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A34C8E"/>
    <w:multiLevelType w:val="hybridMultilevel"/>
    <w:tmpl w:val="A2E25A06"/>
    <w:lvl w:ilvl="0" w:tplc="BEC066DC">
      <w:numFmt w:val="bullet"/>
      <w:lvlText w:val="-"/>
      <w:lvlJc w:val="left"/>
      <w:pPr>
        <w:tabs>
          <w:tab w:val="num" w:pos="720"/>
        </w:tabs>
        <w:ind w:left="720" w:hanging="360"/>
      </w:pPr>
      <w:rPr>
        <w:rFonts w:ascii="Arial" w:eastAsia="Times New Roman" w:hAnsi="Arial"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27BFB"/>
    <w:multiLevelType w:val="hybridMultilevel"/>
    <w:tmpl w:val="A866CFD2"/>
    <w:lvl w:ilvl="0" w:tplc="6AF47B70">
      <w:start w:val="1"/>
      <w:numFmt w:val="lowerRoman"/>
      <w:lvlText w:val="(%1)"/>
      <w:lvlJc w:val="left"/>
      <w:pPr>
        <w:ind w:left="1080" w:hanging="72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ED5254"/>
    <w:multiLevelType w:val="hybridMultilevel"/>
    <w:tmpl w:val="721AC780"/>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414820"/>
    <w:multiLevelType w:val="hybridMultilevel"/>
    <w:tmpl w:val="856CE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BA1553"/>
    <w:multiLevelType w:val="hybridMultilevel"/>
    <w:tmpl w:val="A17A2EE6"/>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0074AA"/>
    <w:multiLevelType w:val="hybridMultilevel"/>
    <w:tmpl w:val="BB5C60D8"/>
    <w:lvl w:ilvl="0" w:tplc="F89E90F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6279EF"/>
    <w:multiLevelType w:val="hybridMultilevel"/>
    <w:tmpl w:val="43406C1C"/>
    <w:lvl w:ilvl="0" w:tplc="F89E90F8">
      <w:start w:val="1"/>
      <w:numFmt w:val="bullet"/>
      <w:lvlText w:val=""/>
      <w:lvlJc w:val="left"/>
      <w:pPr>
        <w:ind w:left="720" w:hanging="360"/>
      </w:pPr>
      <w:rPr>
        <w:rFonts w:ascii="Symbol" w:hAnsi="Symbol" w:hint="default"/>
        <w:color w:val="00B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36BC8"/>
    <w:multiLevelType w:val="hybridMultilevel"/>
    <w:tmpl w:val="E0AE1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6265DB"/>
    <w:multiLevelType w:val="hybridMultilevel"/>
    <w:tmpl w:val="FF02A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BA233B"/>
    <w:multiLevelType w:val="hybridMultilevel"/>
    <w:tmpl w:val="C51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343042"/>
    <w:multiLevelType w:val="hybridMultilevel"/>
    <w:tmpl w:val="BBFC622C"/>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B03E82"/>
    <w:multiLevelType w:val="hybridMultilevel"/>
    <w:tmpl w:val="872AF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8"/>
  </w:num>
  <w:num w:numId="4">
    <w:abstractNumId w:val="0"/>
  </w:num>
  <w:num w:numId="5">
    <w:abstractNumId w:val="2"/>
  </w:num>
  <w:num w:numId="6">
    <w:abstractNumId w:val="21"/>
  </w:num>
  <w:num w:numId="7">
    <w:abstractNumId w:val="4"/>
  </w:num>
  <w:num w:numId="8">
    <w:abstractNumId w:val="12"/>
  </w:num>
  <w:num w:numId="9">
    <w:abstractNumId w:val="23"/>
  </w:num>
  <w:num w:numId="10">
    <w:abstractNumId w:val="5"/>
  </w:num>
  <w:num w:numId="11">
    <w:abstractNumId w:val="10"/>
  </w:num>
  <w:num w:numId="12">
    <w:abstractNumId w:val="6"/>
  </w:num>
  <w:num w:numId="13">
    <w:abstractNumId w:val="7"/>
  </w:num>
  <w:num w:numId="14">
    <w:abstractNumId w:val="20"/>
  </w:num>
  <w:num w:numId="15">
    <w:abstractNumId w:val="8"/>
  </w:num>
  <w:num w:numId="16">
    <w:abstractNumId w:val="11"/>
  </w:num>
  <w:num w:numId="17">
    <w:abstractNumId w:val="19"/>
  </w:num>
  <w:num w:numId="18">
    <w:abstractNumId w:val="3"/>
  </w:num>
  <w:num w:numId="19">
    <w:abstractNumId w:val="24"/>
  </w:num>
  <w:num w:numId="20">
    <w:abstractNumId w:val="8"/>
  </w:num>
  <w:num w:numId="21">
    <w:abstractNumId w:val="9"/>
  </w:num>
  <w:num w:numId="22">
    <w:abstractNumId w:val="15"/>
  </w:num>
  <w:num w:numId="23">
    <w:abstractNumId w:val="14"/>
  </w:num>
  <w:num w:numId="24">
    <w:abstractNumId w:val="13"/>
  </w:num>
  <w:num w:numId="25">
    <w:abstractNumId w:val="9"/>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54"/>
    <w:rsid w:val="00000FBC"/>
    <w:rsid w:val="00003482"/>
    <w:rsid w:val="00011A42"/>
    <w:rsid w:val="00011F76"/>
    <w:rsid w:val="00025611"/>
    <w:rsid w:val="0002713B"/>
    <w:rsid w:val="000344E5"/>
    <w:rsid w:val="000353A3"/>
    <w:rsid w:val="00037BEE"/>
    <w:rsid w:val="00050C5C"/>
    <w:rsid w:val="00054F1F"/>
    <w:rsid w:val="00056DF0"/>
    <w:rsid w:val="0006213D"/>
    <w:rsid w:val="000649CE"/>
    <w:rsid w:val="00064ECD"/>
    <w:rsid w:val="00073BEB"/>
    <w:rsid w:val="00075009"/>
    <w:rsid w:val="00076CCE"/>
    <w:rsid w:val="00077616"/>
    <w:rsid w:val="00082804"/>
    <w:rsid w:val="00093894"/>
    <w:rsid w:val="000A5606"/>
    <w:rsid w:val="000B327A"/>
    <w:rsid w:val="000B396C"/>
    <w:rsid w:val="000B67B6"/>
    <w:rsid w:val="000C4D45"/>
    <w:rsid w:val="000C57F3"/>
    <w:rsid w:val="000C6AB1"/>
    <w:rsid w:val="000D3224"/>
    <w:rsid w:val="000D3989"/>
    <w:rsid w:val="000E19B2"/>
    <w:rsid w:val="000E26C3"/>
    <w:rsid w:val="000F21E2"/>
    <w:rsid w:val="000F27A4"/>
    <w:rsid w:val="000F6882"/>
    <w:rsid w:val="00101202"/>
    <w:rsid w:val="0010376C"/>
    <w:rsid w:val="0010440B"/>
    <w:rsid w:val="00104F03"/>
    <w:rsid w:val="0011039B"/>
    <w:rsid w:val="00114F9A"/>
    <w:rsid w:val="00117E8C"/>
    <w:rsid w:val="00121FCB"/>
    <w:rsid w:val="00124007"/>
    <w:rsid w:val="00124C7D"/>
    <w:rsid w:val="00133B09"/>
    <w:rsid w:val="00133E03"/>
    <w:rsid w:val="00133F3E"/>
    <w:rsid w:val="0013571A"/>
    <w:rsid w:val="00135E9D"/>
    <w:rsid w:val="00137429"/>
    <w:rsid w:val="001420DE"/>
    <w:rsid w:val="0014360C"/>
    <w:rsid w:val="00147F22"/>
    <w:rsid w:val="00150A9B"/>
    <w:rsid w:val="00151978"/>
    <w:rsid w:val="00151D4A"/>
    <w:rsid w:val="001565B7"/>
    <w:rsid w:val="00156D92"/>
    <w:rsid w:val="001572CC"/>
    <w:rsid w:val="00172DCB"/>
    <w:rsid w:val="00174F2A"/>
    <w:rsid w:val="00180297"/>
    <w:rsid w:val="00180E1F"/>
    <w:rsid w:val="00182124"/>
    <w:rsid w:val="00182858"/>
    <w:rsid w:val="001854D1"/>
    <w:rsid w:val="00187343"/>
    <w:rsid w:val="00187D05"/>
    <w:rsid w:val="00192359"/>
    <w:rsid w:val="001960D8"/>
    <w:rsid w:val="001979C7"/>
    <w:rsid w:val="001A08E0"/>
    <w:rsid w:val="001A2BEC"/>
    <w:rsid w:val="001A4089"/>
    <w:rsid w:val="001A5653"/>
    <w:rsid w:val="001B3C84"/>
    <w:rsid w:val="001B50E8"/>
    <w:rsid w:val="001C762F"/>
    <w:rsid w:val="001C7C13"/>
    <w:rsid w:val="001D3215"/>
    <w:rsid w:val="001D4ECF"/>
    <w:rsid w:val="001D6683"/>
    <w:rsid w:val="001D7347"/>
    <w:rsid w:val="001E0FBF"/>
    <w:rsid w:val="001E3418"/>
    <w:rsid w:val="001E35DD"/>
    <w:rsid w:val="001E50BE"/>
    <w:rsid w:val="001F1CA0"/>
    <w:rsid w:val="001F1FD4"/>
    <w:rsid w:val="001F2E8E"/>
    <w:rsid w:val="001F43A0"/>
    <w:rsid w:val="001F7F4A"/>
    <w:rsid w:val="00202237"/>
    <w:rsid w:val="00202FD8"/>
    <w:rsid w:val="00205A8E"/>
    <w:rsid w:val="0021090E"/>
    <w:rsid w:val="00213585"/>
    <w:rsid w:val="00213B3D"/>
    <w:rsid w:val="002147E0"/>
    <w:rsid w:val="00214D3E"/>
    <w:rsid w:val="002155E8"/>
    <w:rsid w:val="0021602A"/>
    <w:rsid w:val="002202C8"/>
    <w:rsid w:val="00222EF9"/>
    <w:rsid w:val="00224DE9"/>
    <w:rsid w:val="002252DD"/>
    <w:rsid w:val="00226DB9"/>
    <w:rsid w:val="0022744E"/>
    <w:rsid w:val="002300FE"/>
    <w:rsid w:val="00231BBF"/>
    <w:rsid w:val="00231E53"/>
    <w:rsid w:val="00233ECA"/>
    <w:rsid w:val="002363B8"/>
    <w:rsid w:val="00236C2B"/>
    <w:rsid w:val="002372F0"/>
    <w:rsid w:val="00240B32"/>
    <w:rsid w:val="00250823"/>
    <w:rsid w:val="00254279"/>
    <w:rsid w:val="002577A5"/>
    <w:rsid w:val="00257BF5"/>
    <w:rsid w:val="00257F44"/>
    <w:rsid w:val="002600FC"/>
    <w:rsid w:val="0026145F"/>
    <w:rsid w:val="00273671"/>
    <w:rsid w:val="00274997"/>
    <w:rsid w:val="00274F36"/>
    <w:rsid w:val="00280AA4"/>
    <w:rsid w:val="002819CD"/>
    <w:rsid w:val="0028559D"/>
    <w:rsid w:val="002909F2"/>
    <w:rsid w:val="00294F29"/>
    <w:rsid w:val="002962F5"/>
    <w:rsid w:val="00296D1B"/>
    <w:rsid w:val="00297F95"/>
    <w:rsid w:val="002A3321"/>
    <w:rsid w:val="002A4901"/>
    <w:rsid w:val="002A5011"/>
    <w:rsid w:val="002B06FB"/>
    <w:rsid w:val="002B1A7C"/>
    <w:rsid w:val="002B1C54"/>
    <w:rsid w:val="002B1E5E"/>
    <w:rsid w:val="002B4060"/>
    <w:rsid w:val="002B44B9"/>
    <w:rsid w:val="002B49D3"/>
    <w:rsid w:val="002B692F"/>
    <w:rsid w:val="002C2518"/>
    <w:rsid w:val="002D4170"/>
    <w:rsid w:val="002D7055"/>
    <w:rsid w:val="002E02B9"/>
    <w:rsid w:val="002F0162"/>
    <w:rsid w:val="002F2118"/>
    <w:rsid w:val="002F2911"/>
    <w:rsid w:val="00300E90"/>
    <w:rsid w:val="0030174F"/>
    <w:rsid w:val="003021B1"/>
    <w:rsid w:val="00307A5C"/>
    <w:rsid w:val="00310949"/>
    <w:rsid w:val="003110DB"/>
    <w:rsid w:val="0031235B"/>
    <w:rsid w:val="00313F3F"/>
    <w:rsid w:val="00314053"/>
    <w:rsid w:val="0032171C"/>
    <w:rsid w:val="0032531A"/>
    <w:rsid w:val="00330137"/>
    <w:rsid w:val="00331A0F"/>
    <w:rsid w:val="003427A1"/>
    <w:rsid w:val="003454AF"/>
    <w:rsid w:val="00350B06"/>
    <w:rsid w:val="003515A9"/>
    <w:rsid w:val="003531A0"/>
    <w:rsid w:val="00356BC3"/>
    <w:rsid w:val="00361D42"/>
    <w:rsid w:val="00371644"/>
    <w:rsid w:val="0037625B"/>
    <w:rsid w:val="00376AA3"/>
    <w:rsid w:val="00377657"/>
    <w:rsid w:val="00384828"/>
    <w:rsid w:val="003851D6"/>
    <w:rsid w:val="00386F17"/>
    <w:rsid w:val="00387047"/>
    <w:rsid w:val="00394FD8"/>
    <w:rsid w:val="003A30B9"/>
    <w:rsid w:val="003A3AEB"/>
    <w:rsid w:val="003A68AF"/>
    <w:rsid w:val="003B3448"/>
    <w:rsid w:val="003C388E"/>
    <w:rsid w:val="003D13C5"/>
    <w:rsid w:val="003D42BB"/>
    <w:rsid w:val="003E2B37"/>
    <w:rsid w:val="003E4545"/>
    <w:rsid w:val="003F0D4C"/>
    <w:rsid w:val="003F329F"/>
    <w:rsid w:val="003F355E"/>
    <w:rsid w:val="003F575B"/>
    <w:rsid w:val="0040012F"/>
    <w:rsid w:val="004042CD"/>
    <w:rsid w:val="0040565F"/>
    <w:rsid w:val="00411774"/>
    <w:rsid w:val="00411A9A"/>
    <w:rsid w:val="00412B87"/>
    <w:rsid w:val="00414AFC"/>
    <w:rsid w:val="004151A6"/>
    <w:rsid w:val="0041545A"/>
    <w:rsid w:val="004162D0"/>
    <w:rsid w:val="00422B4C"/>
    <w:rsid w:val="0042492B"/>
    <w:rsid w:val="004276C3"/>
    <w:rsid w:val="0043663B"/>
    <w:rsid w:val="00436791"/>
    <w:rsid w:val="00436B1F"/>
    <w:rsid w:val="00447C2D"/>
    <w:rsid w:val="0045231A"/>
    <w:rsid w:val="00454322"/>
    <w:rsid w:val="00461B22"/>
    <w:rsid w:val="00466953"/>
    <w:rsid w:val="0047151E"/>
    <w:rsid w:val="00471E4D"/>
    <w:rsid w:val="00474894"/>
    <w:rsid w:val="0047633D"/>
    <w:rsid w:val="004763FC"/>
    <w:rsid w:val="00483B74"/>
    <w:rsid w:val="004870FC"/>
    <w:rsid w:val="004929A7"/>
    <w:rsid w:val="0049560A"/>
    <w:rsid w:val="00495FBC"/>
    <w:rsid w:val="004970BD"/>
    <w:rsid w:val="004A3DE0"/>
    <w:rsid w:val="004A4404"/>
    <w:rsid w:val="004A4DA6"/>
    <w:rsid w:val="004A4F9C"/>
    <w:rsid w:val="004B4310"/>
    <w:rsid w:val="004B6147"/>
    <w:rsid w:val="004C6013"/>
    <w:rsid w:val="004D53E1"/>
    <w:rsid w:val="004D5801"/>
    <w:rsid w:val="004D6E0E"/>
    <w:rsid w:val="004D76E5"/>
    <w:rsid w:val="004E0DFD"/>
    <w:rsid w:val="004E5167"/>
    <w:rsid w:val="004E6BFD"/>
    <w:rsid w:val="004E6F8C"/>
    <w:rsid w:val="004F0F82"/>
    <w:rsid w:val="004F32D8"/>
    <w:rsid w:val="004F35B8"/>
    <w:rsid w:val="004F47A7"/>
    <w:rsid w:val="005049FC"/>
    <w:rsid w:val="005065C8"/>
    <w:rsid w:val="00511C3B"/>
    <w:rsid w:val="00512136"/>
    <w:rsid w:val="0051354B"/>
    <w:rsid w:val="00516C8A"/>
    <w:rsid w:val="00527BC6"/>
    <w:rsid w:val="005310CD"/>
    <w:rsid w:val="0053185A"/>
    <w:rsid w:val="00533334"/>
    <w:rsid w:val="00533AAE"/>
    <w:rsid w:val="005374FF"/>
    <w:rsid w:val="00537F92"/>
    <w:rsid w:val="00540402"/>
    <w:rsid w:val="005428C9"/>
    <w:rsid w:val="00544938"/>
    <w:rsid w:val="00544DCD"/>
    <w:rsid w:val="00550908"/>
    <w:rsid w:val="005559A0"/>
    <w:rsid w:val="00557EB2"/>
    <w:rsid w:val="00561CDE"/>
    <w:rsid w:val="00567E63"/>
    <w:rsid w:val="0057297B"/>
    <w:rsid w:val="00577923"/>
    <w:rsid w:val="0058456E"/>
    <w:rsid w:val="00584AF4"/>
    <w:rsid w:val="00584D00"/>
    <w:rsid w:val="0058768F"/>
    <w:rsid w:val="005A2C5E"/>
    <w:rsid w:val="005A56C8"/>
    <w:rsid w:val="005A5FE4"/>
    <w:rsid w:val="005A7528"/>
    <w:rsid w:val="005A7F8E"/>
    <w:rsid w:val="005B0B65"/>
    <w:rsid w:val="005B4751"/>
    <w:rsid w:val="005B5F32"/>
    <w:rsid w:val="005C4034"/>
    <w:rsid w:val="005C4C37"/>
    <w:rsid w:val="005C679A"/>
    <w:rsid w:val="005D59B4"/>
    <w:rsid w:val="005E220B"/>
    <w:rsid w:val="005E4675"/>
    <w:rsid w:val="005E7161"/>
    <w:rsid w:val="005F0D7A"/>
    <w:rsid w:val="005F2728"/>
    <w:rsid w:val="005F3E6E"/>
    <w:rsid w:val="005F3EDF"/>
    <w:rsid w:val="005F6B24"/>
    <w:rsid w:val="0060658F"/>
    <w:rsid w:val="0060683A"/>
    <w:rsid w:val="00611784"/>
    <w:rsid w:val="00614F66"/>
    <w:rsid w:val="00615462"/>
    <w:rsid w:val="00617F8A"/>
    <w:rsid w:val="006208A3"/>
    <w:rsid w:val="0062279B"/>
    <w:rsid w:val="006232A4"/>
    <w:rsid w:val="006233D4"/>
    <w:rsid w:val="0062714F"/>
    <w:rsid w:val="006353C5"/>
    <w:rsid w:val="006428DD"/>
    <w:rsid w:val="0064454D"/>
    <w:rsid w:val="00644E6C"/>
    <w:rsid w:val="006462CB"/>
    <w:rsid w:val="00647589"/>
    <w:rsid w:val="0065012F"/>
    <w:rsid w:val="00653986"/>
    <w:rsid w:val="00654070"/>
    <w:rsid w:val="00654E7B"/>
    <w:rsid w:val="00660D98"/>
    <w:rsid w:val="00661541"/>
    <w:rsid w:val="00663D56"/>
    <w:rsid w:val="00671B3A"/>
    <w:rsid w:val="0067642B"/>
    <w:rsid w:val="00677988"/>
    <w:rsid w:val="006809B6"/>
    <w:rsid w:val="00682611"/>
    <w:rsid w:val="006852F2"/>
    <w:rsid w:val="0069348C"/>
    <w:rsid w:val="006974DB"/>
    <w:rsid w:val="006979DF"/>
    <w:rsid w:val="006A1C56"/>
    <w:rsid w:val="006A4B92"/>
    <w:rsid w:val="006A7576"/>
    <w:rsid w:val="006B13A7"/>
    <w:rsid w:val="006B2D6B"/>
    <w:rsid w:val="006B2DFB"/>
    <w:rsid w:val="006B460F"/>
    <w:rsid w:val="006B6AD4"/>
    <w:rsid w:val="006B6F45"/>
    <w:rsid w:val="006C2D9C"/>
    <w:rsid w:val="006C54A3"/>
    <w:rsid w:val="006C7AD3"/>
    <w:rsid w:val="006D7B4A"/>
    <w:rsid w:val="006E0300"/>
    <w:rsid w:val="006E4DA8"/>
    <w:rsid w:val="006E5747"/>
    <w:rsid w:val="006E5807"/>
    <w:rsid w:val="006E5B28"/>
    <w:rsid w:val="0070077B"/>
    <w:rsid w:val="0070376A"/>
    <w:rsid w:val="00704407"/>
    <w:rsid w:val="00713725"/>
    <w:rsid w:val="00717D7A"/>
    <w:rsid w:val="00723574"/>
    <w:rsid w:val="007258A5"/>
    <w:rsid w:val="00725930"/>
    <w:rsid w:val="00725DFD"/>
    <w:rsid w:val="00726B9B"/>
    <w:rsid w:val="00730A1D"/>
    <w:rsid w:val="00737781"/>
    <w:rsid w:val="0075193A"/>
    <w:rsid w:val="007536FF"/>
    <w:rsid w:val="00755B46"/>
    <w:rsid w:val="00760714"/>
    <w:rsid w:val="00760E09"/>
    <w:rsid w:val="007611E2"/>
    <w:rsid w:val="007717E8"/>
    <w:rsid w:val="007727AD"/>
    <w:rsid w:val="00772DFF"/>
    <w:rsid w:val="00781778"/>
    <w:rsid w:val="00792FE5"/>
    <w:rsid w:val="00793A9A"/>
    <w:rsid w:val="007A130C"/>
    <w:rsid w:val="007A1C79"/>
    <w:rsid w:val="007A603D"/>
    <w:rsid w:val="007A7629"/>
    <w:rsid w:val="007A7B77"/>
    <w:rsid w:val="007B23DC"/>
    <w:rsid w:val="007B4463"/>
    <w:rsid w:val="007B640F"/>
    <w:rsid w:val="007B651C"/>
    <w:rsid w:val="007B65DD"/>
    <w:rsid w:val="007C06A3"/>
    <w:rsid w:val="007C131C"/>
    <w:rsid w:val="007C21A2"/>
    <w:rsid w:val="007C4514"/>
    <w:rsid w:val="007C4C65"/>
    <w:rsid w:val="007C54BE"/>
    <w:rsid w:val="007C5CB5"/>
    <w:rsid w:val="007D275F"/>
    <w:rsid w:val="007D2D57"/>
    <w:rsid w:val="007E13C5"/>
    <w:rsid w:val="007F3E1F"/>
    <w:rsid w:val="00800E9A"/>
    <w:rsid w:val="0080302D"/>
    <w:rsid w:val="00803D69"/>
    <w:rsid w:val="008056C0"/>
    <w:rsid w:val="00811E06"/>
    <w:rsid w:val="00812AF0"/>
    <w:rsid w:val="0082026F"/>
    <w:rsid w:val="00823CDD"/>
    <w:rsid w:val="008269D2"/>
    <w:rsid w:val="00827E4A"/>
    <w:rsid w:val="00835B8B"/>
    <w:rsid w:val="00835F68"/>
    <w:rsid w:val="00836520"/>
    <w:rsid w:val="00845004"/>
    <w:rsid w:val="008473D9"/>
    <w:rsid w:val="00847498"/>
    <w:rsid w:val="0085131C"/>
    <w:rsid w:val="00852004"/>
    <w:rsid w:val="00854A65"/>
    <w:rsid w:val="00860737"/>
    <w:rsid w:val="00860D1F"/>
    <w:rsid w:val="00862181"/>
    <w:rsid w:val="008637D4"/>
    <w:rsid w:val="008705DE"/>
    <w:rsid w:val="00871593"/>
    <w:rsid w:val="00873CF9"/>
    <w:rsid w:val="0087456A"/>
    <w:rsid w:val="008905C1"/>
    <w:rsid w:val="008927FA"/>
    <w:rsid w:val="00892C35"/>
    <w:rsid w:val="00895313"/>
    <w:rsid w:val="008959AC"/>
    <w:rsid w:val="008A1C7F"/>
    <w:rsid w:val="008A3489"/>
    <w:rsid w:val="008A5129"/>
    <w:rsid w:val="008A679F"/>
    <w:rsid w:val="008B289C"/>
    <w:rsid w:val="008B44F0"/>
    <w:rsid w:val="008B51D7"/>
    <w:rsid w:val="008B60D1"/>
    <w:rsid w:val="008C64C4"/>
    <w:rsid w:val="008D0C91"/>
    <w:rsid w:val="008D17B4"/>
    <w:rsid w:val="008D31B1"/>
    <w:rsid w:val="008E0823"/>
    <w:rsid w:val="008E2707"/>
    <w:rsid w:val="008F00BB"/>
    <w:rsid w:val="0090237D"/>
    <w:rsid w:val="00903929"/>
    <w:rsid w:val="009055E9"/>
    <w:rsid w:val="0090608A"/>
    <w:rsid w:val="00910521"/>
    <w:rsid w:val="00910FFD"/>
    <w:rsid w:val="0091642E"/>
    <w:rsid w:val="00922E2B"/>
    <w:rsid w:val="009331F9"/>
    <w:rsid w:val="0093674C"/>
    <w:rsid w:val="00943558"/>
    <w:rsid w:val="009443E2"/>
    <w:rsid w:val="00950D45"/>
    <w:rsid w:val="009519A6"/>
    <w:rsid w:val="0095321A"/>
    <w:rsid w:val="009537BA"/>
    <w:rsid w:val="00953A23"/>
    <w:rsid w:val="00960B7A"/>
    <w:rsid w:val="0096638E"/>
    <w:rsid w:val="009673DD"/>
    <w:rsid w:val="00967932"/>
    <w:rsid w:val="00970E53"/>
    <w:rsid w:val="00971057"/>
    <w:rsid w:val="00974274"/>
    <w:rsid w:val="00977B2E"/>
    <w:rsid w:val="009816A2"/>
    <w:rsid w:val="00983735"/>
    <w:rsid w:val="009879E2"/>
    <w:rsid w:val="00990114"/>
    <w:rsid w:val="009A0080"/>
    <w:rsid w:val="009A1265"/>
    <w:rsid w:val="009A146D"/>
    <w:rsid w:val="009A2BF3"/>
    <w:rsid w:val="009A30BB"/>
    <w:rsid w:val="009A400F"/>
    <w:rsid w:val="009A4ED6"/>
    <w:rsid w:val="009A5A7E"/>
    <w:rsid w:val="009B02D4"/>
    <w:rsid w:val="009B2BE3"/>
    <w:rsid w:val="009B7546"/>
    <w:rsid w:val="009C39BA"/>
    <w:rsid w:val="009C50CE"/>
    <w:rsid w:val="009D285C"/>
    <w:rsid w:val="009D3AFB"/>
    <w:rsid w:val="009D438C"/>
    <w:rsid w:val="009D5A92"/>
    <w:rsid w:val="009D7035"/>
    <w:rsid w:val="009F66DB"/>
    <w:rsid w:val="00A00A37"/>
    <w:rsid w:val="00A02B2B"/>
    <w:rsid w:val="00A07481"/>
    <w:rsid w:val="00A11C22"/>
    <w:rsid w:val="00A1494F"/>
    <w:rsid w:val="00A14D43"/>
    <w:rsid w:val="00A1765F"/>
    <w:rsid w:val="00A216E0"/>
    <w:rsid w:val="00A31DDA"/>
    <w:rsid w:val="00A31F26"/>
    <w:rsid w:val="00A33542"/>
    <w:rsid w:val="00A46649"/>
    <w:rsid w:val="00A56513"/>
    <w:rsid w:val="00A56B38"/>
    <w:rsid w:val="00A72AA1"/>
    <w:rsid w:val="00A73DAB"/>
    <w:rsid w:val="00A76E77"/>
    <w:rsid w:val="00A82208"/>
    <w:rsid w:val="00A8748B"/>
    <w:rsid w:val="00A876FD"/>
    <w:rsid w:val="00A94932"/>
    <w:rsid w:val="00AA1A63"/>
    <w:rsid w:val="00AB3A55"/>
    <w:rsid w:val="00AB40B1"/>
    <w:rsid w:val="00AB4C7E"/>
    <w:rsid w:val="00AC239F"/>
    <w:rsid w:val="00AC4CA2"/>
    <w:rsid w:val="00AC7177"/>
    <w:rsid w:val="00AC74BA"/>
    <w:rsid w:val="00AD26BD"/>
    <w:rsid w:val="00AD3260"/>
    <w:rsid w:val="00AD5228"/>
    <w:rsid w:val="00AE1E6E"/>
    <w:rsid w:val="00AE2361"/>
    <w:rsid w:val="00AE44A1"/>
    <w:rsid w:val="00AE6147"/>
    <w:rsid w:val="00AE77A8"/>
    <w:rsid w:val="00AF1C41"/>
    <w:rsid w:val="00AF2D0D"/>
    <w:rsid w:val="00AF320E"/>
    <w:rsid w:val="00AF6306"/>
    <w:rsid w:val="00AF7EAE"/>
    <w:rsid w:val="00B00B9F"/>
    <w:rsid w:val="00B04352"/>
    <w:rsid w:val="00B05E53"/>
    <w:rsid w:val="00B062FD"/>
    <w:rsid w:val="00B0635C"/>
    <w:rsid w:val="00B07437"/>
    <w:rsid w:val="00B07734"/>
    <w:rsid w:val="00B11367"/>
    <w:rsid w:val="00B12298"/>
    <w:rsid w:val="00B1293C"/>
    <w:rsid w:val="00B15E3C"/>
    <w:rsid w:val="00B22F36"/>
    <w:rsid w:val="00B24605"/>
    <w:rsid w:val="00B2565A"/>
    <w:rsid w:val="00B26B94"/>
    <w:rsid w:val="00B30895"/>
    <w:rsid w:val="00B355A1"/>
    <w:rsid w:val="00B40CC2"/>
    <w:rsid w:val="00B44AAD"/>
    <w:rsid w:val="00B47FF8"/>
    <w:rsid w:val="00B50502"/>
    <w:rsid w:val="00B53276"/>
    <w:rsid w:val="00B555C3"/>
    <w:rsid w:val="00B56FB3"/>
    <w:rsid w:val="00B64B26"/>
    <w:rsid w:val="00B7125A"/>
    <w:rsid w:val="00B71A81"/>
    <w:rsid w:val="00B72380"/>
    <w:rsid w:val="00B73D93"/>
    <w:rsid w:val="00B75378"/>
    <w:rsid w:val="00B7777D"/>
    <w:rsid w:val="00B77AB2"/>
    <w:rsid w:val="00B81D39"/>
    <w:rsid w:val="00B83BA7"/>
    <w:rsid w:val="00B90C1C"/>
    <w:rsid w:val="00B95365"/>
    <w:rsid w:val="00B957EE"/>
    <w:rsid w:val="00BA207A"/>
    <w:rsid w:val="00BA24C2"/>
    <w:rsid w:val="00BA3B3A"/>
    <w:rsid w:val="00BB2CC9"/>
    <w:rsid w:val="00BB68FE"/>
    <w:rsid w:val="00BC0FB9"/>
    <w:rsid w:val="00BC44E6"/>
    <w:rsid w:val="00BC4E3D"/>
    <w:rsid w:val="00BC5637"/>
    <w:rsid w:val="00BD5ED4"/>
    <w:rsid w:val="00BD5F3E"/>
    <w:rsid w:val="00BD6483"/>
    <w:rsid w:val="00BE1E98"/>
    <w:rsid w:val="00BE35B3"/>
    <w:rsid w:val="00BE36E2"/>
    <w:rsid w:val="00BF2A35"/>
    <w:rsid w:val="00BF32AB"/>
    <w:rsid w:val="00BF4394"/>
    <w:rsid w:val="00BF55E3"/>
    <w:rsid w:val="00BF5F6B"/>
    <w:rsid w:val="00BF6EF9"/>
    <w:rsid w:val="00C03E36"/>
    <w:rsid w:val="00C04602"/>
    <w:rsid w:val="00C0461B"/>
    <w:rsid w:val="00C0568B"/>
    <w:rsid w:val="00C05EEA"/>
    <w:rsid w:val="00C111C6"/>
    <w:rsid w:val="00C11F4E"/>
    <w:rsid w:val="00C20F36"/>
    <w:rsid w:val="00C22BCB"/>
    <w:rsid w:val="00C31DC1"/>
    <w:rsid w:val="00C3422F"/>
    <w:rsid w:val="00C34C8F"/>
    <w:rsid w:val="00C3581B"/>
    <w:rsid w:val="00C35E25"/>
    <w:rsid w:val="00C37010"/>
    <w:rsid w:val="00C40C7B"/>
    <w:rsid w:val="00C433E8"/>
    <w:rsid w:val="00C43775"/>
    <w:rsid w:val="00C44918"/>
    <w:rsid w:val="00C53DEA"/>
    <w:rsid w:val="00C544BD"/>
    <w:rsid w:val="00C5683F"/>
    <w:rsid w:val="00C575BE"/>
    <w:rsid w:val="00C62D04"/>
    <w:rsid w:val="00C63512"/>
    <w:rsid w:val="00C64767"/>
    <w:rsid w:val="00C67AF0"/>
    <w:rsid w:val="00C734CE"/>
    <w:rsid w:val="00C74123"/>
    <w:rsid w:val="00C74C8D"/>
    <w:rsid w:val="00C77B2E"/>
    <w:rsid w:val="00C80AFC"/>
    <w:rsid w:val="00C8126D"/>
    <w:rsid w:val="00C845B1"/>
    <w:rsid w:val="00C923A5"/>
    <w:rsid w:val="00C9406E"/>
    <w:rsid w:val="00C96431"/>
    <w:rsid w:val="00C96DC8"/>
    <w:rsid w:val="00CA195B"/>
    <w:rsid w:val="00CA3694"/>
    <w:rsid w:val="00CA60B5"/>
    <w:rsid w:val="00CA7C79"/>
    <w:rsid w:val="00CB17D6"/>
    <w:rsid w:val="00CB2AAE"/>
    <w:rsid w:val="00CB5723"/>
    <w:rsid w:val="00CB5FDE"/>
    <w:rsid w:val="00CB79CD"/>
    <w:rsid w:val="00CC2A38"/>
    <w:rsid w:val="00CC60C9"/>
    <w:rsid w:val="00CD1D27"/>
    <w:rsid w:val="00CD1FFA"/>
    <w:rsid w:val="00CE2C57"/>
    <w:rsid w:val="00CE7622"/>
    <w:rsid w:val="00CF04FB"/>
    <w:rsid w:val="00CF61D5"/>
    <w:rsid w:val="00D0193A"/>
    <w:rsid w:val="00D051CF"/>
    <w:rsid w:val="00D1262A"/>
    <w:rsid w:val="00D14937"/>
    <w:rsid w:val="00D17032"/>
    <w:rsid w:val="00D20DC2"/>
    <w:rsid w:val="00D25E58"/>
    <w:rsid w:val="00D2600D"/>
    <w:rsid w:val="00D26C24"/>
    <w:rsid w:val="00D272E1"/>
    <w:rsid w:val="00D31717"/>
    <w:rsid w:val="00D335BA"/>
    <w:rsid w:val="00D35B7E"/>
    <w:rsid w:val="00D416B2"/>
    <w:rsid w:val="00D44C2A"/>
    <w:rsid w:val="00D450A2"/>
    <w:rsid w:val="00D4537D"/>
    <w:rsid w:val="00D47637"/>
    <w:rsid w:val="00D51EE6"/>
    <w:rsid w:val="00D63665"/>
    <w:rsid w:val="00D665C3"/>
    <w:rsid w:val="00D66673"/>
    <w:rsid w:val="00D67B09"/>
    <w:rsid w:val="00D67F85"/>
    <w:rsid w:val="00D721D2"/>
    <w:rsid w:val="00D72A3F"/>
    <w:rsid w:val="00D8022F"/>
    <w:rsid w:val="00D90668"/>
    <w:rsid w:val="00D90A6C"/>
    <w:rsid w:val="00D93282"/>
    <w:rsid w:val="00DA020F"/>
    <w:rsid w:val="00DA4476"/>
    <w:rsid w:val="00DA4D6D"/>
    <w:rsid w:val="00DB2CF6"/>
    <w:rsid w:val="00DB334F"/>
    <w:rsid w:val="00DB46CC"/>
    <w:rsid w:val="00DB4C3E"/>
    <w:rsid w:val="00DB631B"/>
    <w:rsid w:val="00DB6566"/>
    <w:rsid w:val="00DB7D2B"/>
    <w:rsid w:val="00DC0EE8"/>
    <w:rsid w:val="00DC3D7D"/>
    <w:rsid w:val="00DC5BFF"/>
    <w:rsid w:val="00DC5D05"/>
    <w:rsid w:val="00DD55D3"/>
    <w:rsid w:val="00DE09EC"/>
    <w:rsid w:val="00DE4AF6"/>
    <w:rsid w:val="00DE66FD"/>
    <w:rsid w:val="00DE6F39"/>
    <w:rsid w:val="00DE7D68"/>
    <w:rsid w:val="00DF4E1E"/>
    <w:rsid w:val="00DF53E1"/>
    <w:rsid w:val="00DF6351"/>
    <w:rsid w:val="00DF6699"/>
    <w:rsid w:val="00E01AE8"/>
    <w:rsid w:val="00E03A60"/>
    <w:rsid w:val="00E13900"/>
    <w:rsid w:val="00E21AD3"/>
    <w:rsid w:val="00E267FA"/>
    <w:rsid w:val="00E3195B"/>
    <w:rsid w:val="00E329A0"/>
    <w:rsid w:val="00E3381F"/>
    <w:rsid w:val="00E34FEE"/>
    <w:rsid w:val="00E53C97"/>
    <w:rsid w:val="00E5567B"/>
    <w:rsid w:val="00E56683"/>
    <w:rsid w:val="00E57760"/>
    <w:rsid w:val="00E6170F"/>
    <w:rsid w:val="00E62517"/>
    <w:rsid w:val="00E65987"/>
    <w:rsid w:val="00E734D2"/>
    <w:rsid w:val="00E75C50"/>
    <w:rsid w:val="00E841C8"/>
    <w:rsid w:val="00E91365"/>
    <w:rsid w:val="00E94E3E"/>
    <w:rsid w:val="00EA793F"/>
    <w:rsid w:val="00EB1BB8"/>
    <w:rsid w:val="00EB7ECC"/>
    <w:rsid w:val="00EC161D"/>
    <w:rsid w:val="00EC1E3A"/>
    <w:rsid w:val="00EC2F2A"/>
    <w:rsid w:val="00EC54F3"/>
    <w:rsid w:val="00EC6630"/>
    <w:rsid w:val="00ED3F11"/>
    <w:rsid w:val="00EE6173"/>
    <w:rsid w:val="00EE71BE"/>
    <w:rsid w:val="00EF66A5"/>
    <w:rsid w:val="00EF6C23"/>
    <w:rsid w:val="00F026D9"/>
    <w:rsid w:val="00F163AE"/>
    <w:rsid w:val="00F16A6D"/>
    <w:rsid w:val="00F20CF7"/>
    <w:rsid w:val="00F2171C"/>
    <w:rsid w:val="00F3379E"/>
    <w:rsid w:val="00F33DF5"/>
    <w:rsid w:val="00F352D5"/>
    <w:rsid w:val="00F407BB"/>
    <w:rsid w:val="00F449D7"/>
    <w:rsid w:val="00F45A94"/>
    <w:rsid w:val="00F45CEC"/>
    <w:rsid w:val="00F5024E"/>
    <w:rsid w:val="00F524E1"/>
    <w:rsid w:val="00F60822"/>
    <w:rsid w:val="00F646BD"/>
    <w:rsid w:val="00F64AF3"/>
    <w:rsid w:val="00F701D3"/>
    <w:rsid w:val="00F801AE"/>
    <w:rsid w:val="00F83D92"/>
    <w:rsid w:val="00F91087"/>
    <w:rsid w:val="00F92044"/>
    <w:rsid w:val="00F93AE6"/>
    <w:rsid w:val="00F93D07"/>
    <w:rsid w:val="00F95F43"/>
    <w:rsid w:val="00FA2A76"/>
    <w:rsid w:val="00FA4FC8"/>
    <w:rsid w:val="00FA78EE"/>
    <w:rsid w:val="00FB2C2F"/>
    <w:rsid w:val="00FB38E1"/>
    <w:rsid w:val="00FB4DEE"/>
    <w:rsid w:val="00FC222D"/>
    <w:rsid w:val="00FC3D03"/>
    <w:rsid w:val="00FC5D40"/>
    <w:rsid w:val="00FC7C56"/>
    <w:rsid w:val="00FD2E6A"/>
    <w:rsid w:val="00FD3612"/>
    <w:rsid w:val="00FD4199"/>
    <w:rsid w:val="00FD4598"/>
    <w:rsid w:val="00FE27F9"/>
    <w:rsid w:val="00FF0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2049"/>
    <o:shapelayout v:ext="edit">
      <o:idmap v:ext="edit" data="1"/>
    </o:shapelayout>
  </w:shapeDefaults>
  <w:decimalSymbol w:val="."/>
  <w:listSeparator w:val=";"/>
  <w15:docId w15:val="{F4026AD6-40D4-40F0-89B8-B41D092F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91"/>
    <w:rPr>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locked/>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locked/>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67F85"/>
    <w:rPr>
      <w:rFonts w:ascii="Lucida Grande" w:hAnsi="Lucida Grande" w:cs="Times New Roman"/>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PlainText">
    <w:name w:val="Plain Text"/>
    <w:basedOn w:val="Normal"/>
    <w:link w:val="PlainTextChar"/>
    <w:uiPriority w:val="99"/>
    <w:semiHidden/>
    <w:rsid w:val="006D7B4A"/>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locked/>
    <w:rsid w:val="006D7B4A"/>
    <w:rPr>
      <w:rFonts w:ascii="Calibri" w:hAnsi="Calibri" w:cs="Consolas"/>
      <w:sz w:val="21"/>
      <w:szCs w:val="21"/>
      <w:lang w:eastAsia="en-US"/>
    </w:rPr>
  </w:style>
  <w:style w:type="character" w:styleId="Emphasis">
    <w:name w:val="Emphasis"/>
    <w:basedOn w:val="DefaultParagraphFont"/>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DocumentMap">
    <w:name w:val="Document Map"/>
    <w:basedOn w:val="Normal"/>
    <w:link w:val="DocumentMapChar"/>
    <w:uiPriority w:val="99"/>
    <w:semiHidden/>
    <w:rsid w:val="00C370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FootnoteText">
    <w:name w:val="footnote text"/>
    <w:basedOn w:val="Normal"/>
    <w:link w:val="FootnoteTextChar"/>
    <w:uiPriority w:val="99"/>
    <w:semiHidden/>
    <w:rsid w:val="004D53E1"/>
    <w:pPr>
      <w:widowControl w:val="0"/>
    </w:pPr>
    <w:rPr>
      <w:rFonts w:cs="Cambria"/>
      <w:sz w:val="20"/>
      <w:szCs w:val="20"/>
      <w:lang w:eastAsia="ar-SA"/>
    </w:rPr>
  </w:style>
  <w:style w:type="character" w:customStyle="1" w:styleId="FootnoteTextChar">
    <w:name w:val="Footnote Text Char"/>
    <w:basedOn w:val="DefaultParagraphFont"/>
    <w:link w:val="FootnoteText"/>
    <w:uiPriority w:val="99"/>
    <w:semiHidden/>
    <w:locked/>
    <w:rsid w:val="004D53E1"/>
    <w:rPr>
      <w:rFonts w:cs="Cambria"/>
      <w:sz w:val="20"/>
      <w:szCs w:val="20"/>
      <w:lang w:eastAsia="ar-SA" w:bidi="ar-SA"/>
    </w:rPr>
  </w:style>
  <w:style w:type="character" w:styleId="FootnoteReference">
    <w:name w:val="footnote reference"/>
    <w:basedOn w:val="DefaultParagraphFont"/>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lang w:eastAsia="ar-SA"/>
    </w:rPr>
  </w:style>
  <w:style w:type="paragraph" w:styleId="ListParagraph">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DefaultParagraphFont"/>
    <w:uiPriority w:val="99"/>
    <w:rsid w:val="004E0DFD"/>
    <w:rPr>
      <w:rFonts w:cs="Times New Roman"/>
    </w:rPr>
  </w:style>
  <w:style w:type="paragraph" w:styleId="EndnoteText">
    <w:name w:val="endnote text"/>
    <w:basedOn w:val="Normal"/>
    <w:link w:val="EndnoteTextChar"/>
    <w:uiPriority w:val="99"/>
    <w:semiHidden/>
    <w:unhideWhenUsed/>
    <w:rsid w:val="001F1CA0"/>
    <w:rPr>
      <w:sz w:val="20"/>
      <w:szCs w:val="20"/>
    </w:rPr>
  </w:style>
  <w:style w:type="character" w:customStyle="1" w:styleId="EndnoteTextChar">
    <w:name w:val="Endnote Text Char"/>
    <w:basedOn w:val="DefaultParagraphFont"/>
    <w:link w:val="EndnoteText"/>
    <w:uiPriority w:val="99"/>
    <w:semiHidden/>
    <w:rsid w:val="001F1CA0"/>
    <w:rPr>
      <w:sz w:val="20"/>
      <w:szCs w:val="20"/>
    </w:rPr>
  </w:style>
  <w:style w:type="character" w:styleId="EndnoteReference">
    <w:name w:val="endnote reference"/>
    <w:basedOn w:val="DefaultParagraphFont"/>
    <w:uiPriority w:val="99"/>
    <w:semiHidden/>
    <w:unhideWhenUsed/>
    <w:rsid w:val="001F1CA0"/>
    <w:rPr>
      <w:vertAlign w:val="superscript"/>
    </w:rPr>
  </w:style>
  <w:style w:type="character" w:styleId="CommentReference">
    <w:name w:val="annotation reference"/>
    <w:basedOn w:val="DefaultParagraphFont"/>
    <w:uiPriority w:val="99"/>
    <w:semiHidden/>
    <w:unhideWhenUsed/>
    <w:rsid w:val="003E2B37"/>
    <w:rPr>
      <w:sz w:val="16"/>
      <w:szCs w:val="16"/>
    </w:rPr>
  </w:style>
  <w:style w:type="paragraph" w:styleId="CommentText">
    <w:name w:val="annotation text"/>
    <w:basedOn w:val="Normal"/>
    <w:link w:val="CommentTextChar"/>
    <w:uiPriority w:val="99"/>
    <w:semiHidden/>
    <w:unhideWhenUsed/>
    <w:rsid w:val="003E2B37"/>
    <w:rPr>
      <w:sz w:val="20"/>
      <w:szCs w:val="20"/>
    </w:rPr>
  </w:style>
  <w:style w:type="character" w:customStyle="1" w:styleId="CommentTextChar">
    <w:name w:val="Comment Text Char"/>
    <w:basedOn w:val="DefaultParagraphFont"/>
    <w:link w:val="CommentText"/>
    <w:uiPriority w:val="99"/>
    <w:semiHidden/>
    <w:rsid w:val="003E2B37"/>
    <w:rPr>
      <w:sz w:val="20"/>
      <w:szCs w:val="20"/>
    </w:rPr>
  </w:style>
  <w:style w:type="paragraph" w:styleId="CommentSubject">
    <w:name w:val="annotation subject"/>
    <w:basedOn w:val="CommentText"/>
    <w:next w:val="CommentText"/>
    <w:link w:val="CommentSubjectChar"/>
    <w:uiPriority w:val="99"/>
    <w:semiHidden/>
    <w:unhideWhenUsed/>
    <w:rsid w:val="003E2B37"/>
    <w:rPr>
      <w:b/>
      <w:bCs/>
    </w:rPr>
  </w:style>
  <w:style w:type="character" w:customStyle="1" w:styleId="CommentSubjectChar">
    <w:name w:val="Comment Subject Char"/>
    <w:basedOn w:val="CommentTextChar"/>
    <w:link w:val="CommentSubject"/>
    <w:uiPriority w:val="99"/>
    <w:semiHidden/>
    <w:rsid w:val="003E2B37"/>
    <w:rPr>
      <w:b/>
      <w:bCs/>
      <w:sz w:val="20"/>
      <w:szCs w:val="20"/>
    </w:rPr>
  </w:style>
  <w:style w:type="paragraph" w:styleId="Revision">
    <w:name w:val="Revision"/>
    <w:hidden/>
    <w:uiPriority w:val="99"/>
    <w:semiHidden/>
    <w:rsid w:val="003E2B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8238">
      <w:bodyDiv w:val="1"/>
      <w:marLeft w:val="0"/>
      <w:marRight w:val="0"/>
      <w:marTop w:val="0"/>
      <w:marBottom w:val="0"/>
      <w:divBdr>
        <w:top w:val="none" w:sz="0" w:space="0" w:color="auto"/>
        <w:left w:val="none" w:sz="0" w:space="0" w:color="auto"/>
        <w:bottom w:val="none" w:sz="0" w:space="0" w:color="auto"/>
        <w:right w:val="none" w:sz="0" w:space="0" w:color="auto"/>
      </w:divBdr>
    </w:div>
    <w:div w:id="234320733">
      <w:bodyDiv w:val="1"/>
      <w:marLeft w:val="0"/>
      <w:marRight w:val="0"/>
      <w:marTop w:val="0"/>
      <w:marBottom w:val="0"/>
      <w:divBdr>
        <w:top w:val="none" w:sz="0" w:space="0" w:color="auto"/>
        <w:left w:val="none" w:sz="0" w:space="0" w:color="auto"/>
        <w:bottom w:val="none" w:sz="0" w:space="0" w:color="auto"/>
        <w:right w:val="none" w:sz="0" w:space="0" w:color="auto"/>
      </w:divBdr>
    </w:div>
    <w:div w:id="291861598">
      <w:bodyDiv w:val="1"/>
      <w:marLeft w:val="0"/>
      <w:marRight w:val="0"/>
      <w:marTop w:val="0"/>
      <w:marBottom w:val="0"/>
      <w:divBdr>
        <w:top w:val="none" w:sz="0" w:space="0" w:color="auto"/>
        <w:left w:val="none" w:sz="0" w:space="0" w:color="auto"/>
        <w:bottom w:val="none" w:sz="0" w:space="0" w:color="auto"/>
        <w:right w:val="none" w:sz="0" w:space="0" w:color="auto"/>
      </w:divBdr>
      <w:divsChild>
        <w:div w:id="409498025">
          <w:marLeft w:val="0"/>
          <w:marRight w:val="0"/>
          <w:marTop w:val="0"/>
          <w:marBottom w:val="0"/>
          <w:divBdr>
            <w:top w:val="none" w:sz="0" w:space="0" w:color="auto"/>
            <w:left w:val="none" w:sz="0" w:space="0" w:color="auto"/>
            <w:bottom w:val="none" w:sz="0" w:space="0" w:color="auto"/>
            <w:right w:val="none" w:sz="0" w:space="0" w:color="auto"/>
          </w:divBdr>
        </w:div>
      </w:divsChild>
    </w:div>
    <w:div w:id="336426668">
      <w:bodyDiv w:val="1"/>
      <w:marLeft w:val="0"/>
      <w:marRight w:val="0"/>
      <w:marTop w:val="0"/>
      <w:marBottom w:val="0"/>
      <w:divBdr>
        <w:top w:val="none" w:sz="0" w:space="0" w:color="auto"/>
        <w:left w:val="none" w:sz="0" w:space="0" w:color="auto"/>
        <w:bottom w:val="none" w:sz="0" w:space="0" w:color="auto"/>
        <w:right w:val="none" w:sz="0" w:space="0" w:color="auto"/>
      </w:divBdr>
    </w:div>
    <w:div w:id="593250956">
      <w:bodyDiv w:val="1"/>
      <w:marLeft w:val="0"/>
      <w:marRight w:val="0"/>
      <w:marTop w:val="0"/>
      <w:marBottom w:val="0"/>
      <w:divBdr>
        <w:top w:val="none" w:sz="0" w:space="0" w:color="auto"/>
        <w:left w:val="none" w:sz="0" w:space="0" w:color="auto"/>
        <w:bottom w:val="none" w:sz="0" w:space="0" w:color="auto"/>
        <w:right w:val="none" w:sz="0" w:space="0" w:color="auto"/>
      </w:divBdr>
    </w:div>
    <w:div w:id="678585435">
      <w:bodyDiv w:val="1"/>
      <w:marLeft w:val="0"/>
      <w:marRight w:val="0"/>
      <w:marTop w:val="0"/>
      <w:marBottom w:val="0"/>
      <w:divBdr>
        <w:top w:val="none" w:sz="0" w:space="0" w:color="auto"/>
        <w:left w:val="none" w:sz="0" w:space="0" w:color="auto"/>
        <w:bottom w:val="none" w:sz="0" w:space="0" w:color="auto"/>
        <w:right w:val="none" w:sz="0" w:space="0" w:color="auto"/>
      </w:divBdr>
    </w:div>
    <w:div w:id="700284785">
      <w:bodyDiv w:val="1"/>
      <w:marLeft w:val="0"/>
      <w:marRight w:val="0"/>
      <w:marTop w:val="0"/>
      <w:marBottom w:val="0"/>
      <w:divBdr>
        <w:top w:val="none" w:sz="0" w:space="0" w:color="auto"/>
        <w:left w:val="none" w:sz="0" w:space="0" w:color="auto"/>
        <w:bottom w:val="none" w:sz="0" w:space="0" w:color="auto"/>
        <w:right w:val="none" w:sz="0" w:space="0" w:color="auto"/>
      </w:divBdr>
    </w:div>
    <w:div w:id="706101885">
      <w:bodyDiv w:val="1"/>
      <w:marLeft w:val="0"/>
      <w:marRight w:val="0"/>
      <w:marTop w:val="0"/>
      <w:marBottom w:val="0"/>
      <w:divBdr>
        <w:top w:val="none" w:sz="0" w:space="0" w:color="auto"/>
        <w:left w:val="none" w:sz="0" w:space="0" w:color="auto"/>
        <w:bottom w:val="none" w:sz="0" w:space="0" w:color="auto"/>
        <w:right w:val="none" w:sz="0" w:space="0" w:color="auto"/>
      </w:divBdr>
    </w:div>
    <w:div w:id="801003988">
      <w:bodyDiv w:val="1"/>
      <w:marLeft w:val="0"/>
      <w:marRight w:val="0"/>
      <w:marTop w:val="0"/>
      <w:marBottom w:val="0"/>
      <w:divBdr>
        <w:top w:val="none" w:sz="0" w:space="0" w:color="auto"/>
        <w:left w:val="none" w:sz="0" w:space="0" w:color="auto"/>
        <w:bottom w:val="none" w:sz="0" w:space="0" w:color="auto"/>
        <w:right w:val="none" w:sz="0" w:space="0" w:color="auto"/>
      </w:divBdr>
    </w:div>
    <w:div w:id="841816253">
      <w:bodyDiv w:val="1"/>
      <w:marLeft w:val="0"/>
      <w:marRight w:val="0"/>
      <w:marTop w:val="0"/>
      <w:marBottom w:val="0"/>
      <w:divBdr>
        <w:top w:val="none" w:sz="0" w:space="0" w:color="auto"/>
        <w:left w:val="none" w:sz="0" w:space="0" w:color="auto"/>
        <w:bottom w:val="none" w:sz="0" w:space="0" w:color="auto"/>
        <w:right w:val="none" w:sz="0" w:space="0" w:color="auto"/>
      </w:divBdr>
    </w:div>
    <w:div w:id="943420762">
      <w:bodyDiv w:val="1"/>
      <w:marLeft w:val="0"/>
      <w:marRight w:val="0"/>
      <w:marTop w:val="0"/>
      <w:marBottom w:val="0"/>
      <w:divBdr>
        <w:top w:val="none" w:sz="0" w:space="0" w:color="auto"/>
        <w:left w:val="none" w:sz="0" w:space="0" w:color="auto"/>
        <w:bottom w:val="none" w:sz="0" w:space="0" w:color="auto"/>
        <w:right w:val="none" w:sz="0" w:space="0" w:color="auto"/>
      </w:divBdr>
    </w:div>
    <w:div w:id="1484422372">
      <w:bodyDiv w:val="1"/>
      <w:marLeft w:val="0"/>
      <w:marRight w:val="0"/>
      <w:marTop w:val="0"/>
      <w:marBottom w:val="0"/>
      <w:divBdr>
        <w:top w:val="none" w:sz="0" w:space="0" w:color="auto"/>
        <w:left w:val="none" w:sz="0" w:space="0" w:color="auto"/>
        <w:bottom w:val="none" w:sz="0" w:space="0" w:color="auto"/>
        <w:right w:val="none" w:sz="0" w:space="0" w:color="auto"/>
      </w:divBdr>
    </w:div>
    <w:div w:id="1490711749">
      <w:marLeft w:val="0"/>
      <w:marRight w:val="0"/>
      <w:marTop w:val="0"/>
      <w:marBottom w:val="0"/>
      <w:divBdr>
        <w:top w:val="none" w:sz="0" w:space="0" w:color="auto"/>
        <w:left w:val="none" w:sz="0" w:space="0" w:color="auto"/>
        <w:bottom w:val="none" w:sz="0" w:space="0" w:color="auto"/>
        <w:right w:val="none" w:sz="0" w:space="0" w:color="auto"/>
      </w:divBdr>
    </w:div>
    <w:div w:id="1490711750">
      <w:marLeft w:val="0"/>
      <w:marRight w:val="0"/>
      <w:marTop w:val="0"/>
      <w:marBottom w:val="0"/>
      <w:divBdr>
        <w:top w:val="none" w:sz="0" w:space="0" w:color="auto"/>
        <w:left w:val="none" w:sz="0" w:space="0" w:color="auto"/>
        <w:bottom w:val="none" w:sz="0" w:space="0" w:color="auto"/>
        <w:right w:val="none" w:sz="0" w:space="0" w:color="auto"/>
      </w:divBdr>
    </w:div>
    <w:div w:id="1490711751">
      <w:marLeft w:val="0"/>
      <w:marRight w:val="0"/>
      <w:marTop w:val="0"/>
      <w:marBottom w:val="0"/>
      <w:divBdr>
        <w:top w:val="none" w:sz="0" w:space="0" w:color="auto"/>
        <w:left w:val="none" w:sz="0" w:space="0" w:color="auto"/>
        <w:bottom w:val="none" w:sz="0" w:space="0" w:color="auto"/>
        <w:right w:val="none" w:sz="0" w:space="0" w:color="auto"/>
      </w:divBdr>
    </w:div>
    <w:div w:id="1490711752">
      <w:marLeft w:val="0"/>
      <w:marRight w:val="0"/>
      <w:marTop w:val="0"/>
      <w:marBottom w:val="0"/>
      <w:divBdr>
        <w:top w:val="none" w:sz="0" w:space="0" w:color="auto"/>
        <w:left w:val="none" w:sz="0" w:space="0" w:color="auto"/>
        <w:bottom w:val="none" w:sz="0" w:space="0" w:color="auto"/>
        <w:right w:val="none" w:sz="0" w:space="0" w:color="auto"/>
      </w:divBdr>
    </w:div>
    <w:div w:id="1490711753">
      <w:marLeft w:val="0"/>
      <w:marRight w:val="0"/>
      <w:marTop w:val="0"/>
      <w:marBottom w:val="0"/>
      <w:divBdr>
        <w:top w:val="none" w:sz="0" w:space="0" w:color="auto"/>
        <w:left w:val="none" w:sz="0" w:space="0" w:color="auto"/>
        <w:bottom w:val="none" w:sz="0" w:space="0" w:color="auto"/>
        <w:right w:val="none" w:sz="0" w:space="0" w:color="auto"/>
      </w:divBdr>
    </w:div>
    <w:div w:id="1490711759">
      <w:marLeft w:val="0"/>
      <w:marRight w:val="0"/>
      <w:marTop w:val="0"/>
      <w:marBottom w:val="0"/>
      <w:divBdr>
        <w:top w:val="none" w:sz="0" w:space="0" w:color="auto"/>
        <w:left w:val="none" w:sz="0" w:space="0" w:color="auto"/>
        <w:bottom w:val="none" w:sz="0" w:space="0" w:color="auto"/>
        <w:right w:val="none" w:sz="0" w:space="0" w:color="auto"/>
      </w:divBdr>
      <w:divsChild>
        <w:div w:id="1490711769">
          <w:marLeft w:val="0"/>
          <w:marRight w:val="0"/>
          <w:marTop w:val="0"/>
          <w:marBottom w:val="0"/>
          <w:divBdr>
            <w:top w:val="none" w:sz="0" w:space="0" w:color="auto"/>
            <w:left w:val="none" w:sz="0" w:space="0" w:color="auto"/>
            <w:bottom w:val="none" w:sz="0" w:space="0" w:color="auto"/>
            <w:right w:val="none" w:sz="0" w:space="0" w:color="auto"/>
          </w:divBdr>
          <w:divsChild>
            <w:div w:id="1490711754">
              <w:marLeft w:val="0"/>
              <w:marRight w:val="0"/>
              <w:marTop w:val="0"/>
              <w:marBottom w:val="0"/>
              <w:divBdr>
                <w:top w:val="none" w:sz="0" w:space="0" w:color="auto"/>
                <w:left w:val="none" w:sz="0" w:space="0" w:color="auto"/>
                <w:bottom w:val="none" w:sz="0" w:space="0" w:color="auto"/>
                <w:right w:val="none" w:sz="0" w:space="0" w:color="auto"/>
              </w:divBdr>
              <w:divsChild>
                <w:div w:id="1490711760">
                  <w:marLeft w:val="0"/>
                  <w:marRight w:val="0"/>
                  <w:marTop w:val="0"/>
                  <w:marBottom w:val="0"/>
                  <w:divBdr>
                    <w:top w:val="none" w:sz="0" w:space="0" w:color="auto"/>
                    <w:left w:val="none" w:sz="0" w:space="0" w:color="auto"/>
                    <w:bottom w:val="none" w:sz="0" w:space="0" w:color="auto"/>
                    <w:right w:val="none" w:sz="0" w:space="0" w:color="auto"/>
                  </w:divBdr>
                  <w:divsChild>
                    <w:div w:id="1490711764">
                      <w:marLeft w:val="0"/>
                      <w:marRight w:val="0"/>
                      <w:marTop w:val="0"/>
                      <w:marBottom w:val="0"/>
                      <w:divBdr>
                        <w:top w:val="none" w:sz="0" w:space="0" w:color="auto"/>
                        <w:left w:val="none" w:sz="0" w:space="0" w:color="auto"/>
                        <w:bottom w:val="none" w:sz="0" w:space="0" w:color="auto"/>
                        <w:right w:val="none" w:sz="0" w:space="0" w:color="auto"/>
                      </w:divBdr>
                      <w:divsChild>
                        <w:div w:id="1490711770">
                          <w:marLeft w:val="0"/>
                          <w:marRight w:val="0"/>
                          <w:marTop w:val="0"/>
                          <w:marBottom w:val="0"/>
                          <w:divBdr>
                            <w:top w:val="none" w:sz="0" w:space="0" w:color="auto"/>
                            <w:left w:val="none" w:sz="0" w:space="0" w:color="auto"/>
                            <w:bottom w:val="none" w:sz="0" w:space="0" w:color="auto"/>
                            <w:right w:val="none" w:sz="0" w:space="0" w:color="auto"/>
                          </w:divBdr>
                          <w:divsChild>
                            <w:div w:id="1490711763">
                              <w:marLeft w:val="0"/>
                              <w:marRight w:val="0"/>
                              <w:marTop w:val="0"/>
                              <w:marBottom w:val="0"/>
                              <w:divBdr>
                                <w:top w:val="none" w:sz="0" w:space="0" w:color="auto"/>
                                <w:left w:val="none" w:sz="0" w:space="0" w:color="auto"/>
                                <w:bottom w:val="none" w:sz="0" w:space="0" w:color="auto"/>
                                <w:right w:val="none" w:sz="0" w:space="0" w:color="auto"/>
                              </w:divBdr>
                              <w:divsChild>
                                <w:div w:id="1490711762">
                                  <w:marLeft w:val="0"/>
                                  <w:marRight w:val="0"/>
                                  <w:marTop w:val="0"/>
                                  <w:marBottom w:val="0"/>
                                  <w:divBdr>
                                    <w:top w:val="none" w:sz="0" w:space="0" w:color="auto"/>
                                    <w:left w:val="none" w:sz="0" w:space="0" w:color="auto"/>
                                    <w:bottom w:val="none" w:sz="0" w:space="0" w:color="auto"/>
                                    <w:right w:val="none" w:sz="0" w:space="0" w:color="auto"/>
                                  </w:divBdr>
                                  <w:divsChild>
                                    <w:div w:id="1490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11761">
      <w:marLeft w:val="0"/>
      <w:marRight w:val="0"/>
      <w:marTop w:val="0"/>
      <w:marBottom w:val="0"/>
      <w:divBdr>
        <w:top w:val="none" w:sz="0" w:space="0" w:color="auto"/>
        <w:left w:val="none" w:sz="0" w:space="0" w:color="auto"/>
        <w:bottom w:val="none" w:sz="0" w:space="0" w:color="auto"/>
        <w:right w:val="none" w:sz="0" w:space="0" w:color="auto"/>
      </w:divBdr>
      <w:divsChild>
        <w:div w:id="1490711765">
          <w:marLeft w:val="0"/>
          <w:marRight w:val="0"/>
          <w:marTop w:val="0"/>
          <w:marBottom w:val="0"/>
          <w:divBdr>
            <w:top w:val="none" w:sz="0" w:space="0" w:color="auto"/>
            <w:left w:val="none" w:sz="0" w:space="0" w:color="auto"/>
            <w:bottom w:val="none" w:sz="0" w:space="0" w:color="auto"/>
            <w:right w:val="none" w:sz="0" w:space="0" w:color="auto"/>
          </w:divBdr>
          <w:divsChild>
            <w:div w:id="1490711772">
              <w:marLeft w:val="0"/>
              <w:marRight w:val="0"/>
              <w:marTop w:val="0"/>
              <w:marBottom w:val="0"/>
              <w:divBdr>
                <w:top w:val="none" w:sz="0" w:space="0" w:color="auto"/>
                <w:left w:val="none" w:sz="0" w:space="0" w:color="auto"/>
                <w:bottom w:val="none" w:sz="0" w:space="0" w:color="auto"/>
                <w:right w:val="none" w:sz="0" w:space="0" w:color="auto"/>
              </w:divBdr>
              <w:divsChild>
                <w:div w:id="1490711766">
                  <w:marLeft w:val="0"/>
                  <w:marRight w:val="0"/>
                  <w:marTop w:val="0"/>
                  <w:marBottom w:val="0"/>
                  <w:divBdr>
                    <w:top w:val="none" w:sz="0" w:space="0" w:color="auto"/>
                    <w:left w:val="none" w:sz="0" w:space="0" w:color="auto"/>
                    <w:bottom w:val="none" w:sz="0" w:space="0" w:color="auto"/>
                    <w:right w:val="none" w:sz="0" w:space="0" w:color="auto"/>
                  </w:divBdr>
                  <w:divsChild>
                    <w:div w:id="1490711755">
                      <w:marLeft w:val="0"/>
                      <w:marRight w:val="0"/>
                      <w:marTop w:val="0"/>
                      <w:marBottom w:val="0"/>
                      <w:divBdr>
                        <w:top w:val="none" w:sz="0" w:space="0" w:color="auto"/>
                        <w:left w:val="none" w:sz="0" w:space="0" w:color="auto"/>
                        <w:bottom w:val="none" w:sz="0" w:space="0" w:color="auto"/>
                        <w:right w:val="none" w:sz="0" w:space="0" w:color="auto"/>
                      </w:divBdr>
                      <w:divsChild>
                        <w:div w:id="1490711756">
                          <w:marLeft w:val="-2595"/>
                          <w:marRight w:val="0"/>
                          <w:marTop w:val="0"/>
                          <w:marBottom w:val="0"/>
                          <w:divBdr>
                            <w:top w:val="none" w:sz="0" w:space="0" w:color="auto"/>
                            <w:left w:val="none" w:sz="0" w:space="0" w:color="auto"/>
                            <w:bottom w:val="none" w:sz="0" w:space="0" w:color="auto"/>
                            <w:right w:val="none" w:sz="0" w:space="0" w:color="auto"/>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1490711773">
                                  <w:marLeft w:val="0"/>
                                  <w:marRight w:val="0"/>
                                  <w:marTop w:val="0"/>
                                  <w:marBottom w:val="0"/>
                                  <w:divBdr>
                                    <w:top w:val="none" w:sz="0" w:space="0" w:color="auto"/>
                                    <w:left w:val="none" w:sz="0" w:space="0" w:color="auto"/>
                                    <w:bottom w:val="none" w:sz="0" w:space="0" w:color="auto"/>
                                    <w:right w:val="none" w:sz="0" w:space="0" w:color="auto"/>
                                  </w:divBdr>
                                  <w:divsChild>
                                    <w:div w:id="1490711767">
                                      <w:marLeft w:val="0"/>
                                      <w:marRight w:val="0"/>
                                      <w:marTop w:val="0"/>
                                      <w:marBottom w:val="0"/>
                                      <w:divBdr>
                                        <w:top w:val="none" w:sz="0" w:space="0" w:color="auto"/>
                                        <w:left w:val="none" w:sz="0" w:space="0" w:color="auto"/>
                                        <w:bottom w:val="none" w:sz="0" w:space="0" w:color="auto"/>
                                        <w:right w:val="none" w:sz="0" w:space="0" w:color="auto"/>
                                      </w:divBdr>
                                      <w:divsChild>
                                        <w:div w:id="1490711758">
                                          <w:marLeft w:val="300"/>
                                          <w:marRight w:val="300"/>
                                          <w:marTop w:val="0"/>
                                          <w:marBottom w:val="0"/>
                                          <w:divBdr>
                                            <w:top w:val="none" w:sz="0" w:space="0" w:color="auto"/>
                                            <w:left w:val="none" w:sz="0" w:space="0" w:color="auto"/>
                                            <w:bottom w:val="none" w:sz="0" w:space="0" w:color="auto"/>
                                            <w:right w:val="none" w:sz="0" w:space="0" w:color="auto"/>
                                          </w:divBdr>
                                          <w:divsChild>
                                            <w:div w:id="1490711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1774">
      <w:marLeft w:val="0"/>
      <w:marRight w:val="0"/>
      <w:marTop w:val="0"/>
      <w:marBottom w:val="0"/>
      <w:divBdr>
        <w:top w:val="none" w:sz="0" w:space="0" w:color="auto"/>
        <w:left w:val="none" w:sz="0" w:space="0" w:color="auto"/>
        <w:bottom w:val="none" w:sz="0" w:space="0" w:color="auto"/>
        <w:right w:val="none" w:sz="0" w:space="0" w:color="auto"/>
      </w:divBdr>
    </w:div>
    <w:div w:id="1490711775">
      <w:marLeft w:val="0"/>
      <w:marRight w:val="0"/>
      <w:marTop w:val="0"/>
      <w:marBottom w:val="0"/>
      <w:divBdr>
        <w:top w:val="none" w:sz="0" w:space="0" w:color="auto"/>
        <w:left w:val="none" w:sz="0" w:space="0" w:color="auto"/>
        <w:bottom w:val="none" w:sz="0" w:space="0" w:color="auto"/>
        <w:right w:val="none" w:sz="0" w:space="0" w:color="auto"/>
      </w:divBdr>
    </w:div>
    <w:div w:id="1524442649">
      <w:bodyDiv w:val="1"/>
      <w:marLeft w:val="0"/>
      <w:marRight w:val="0"/>
      <w:marTop w:val="0"/>
      <w:marBottom w:val="0"/>
      <w:divBdr>
        <w:top w:val="none" w:sz="0" w:space="0" w:color="auto"/>
        <w:left w:val="none" w:sz="0" w:space="0" w:color="auto"/>
        <w:bottom w:val="none" w:sz="0" w:space="0" w:color="auto"/>
        <w:right w:val="none" w:sz="0" w:space="0" w:color="auto"/>
      </w:divBdr>
    </w:div>
    <w:div w:id="1801612267">
      <w:bodyDiv w:val="1"/>
      <w:marLeft w:val="0"/>
      <w:marRight w:val="0"/>
      <w:marTop w:val="0"/>
      <w:marBottom w:val="0"/>
      <w:divBdr>
        <w:top w:val="none" w:sz="0" w:space="0" w:color="auto"/>
        <w:left w:val="none" w:sz="0" w:space="0" w:color="auto"/>
        <w:bottom w:val="none" w:sz="0" w:space="0" w:color="auto"/>
        <w:right w:val="none" w:sz="0" w:space="0" w:color="auto"/>
      </w:divBdr>
    </w:div>
    <w:div w:id="20644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in@ifmmedy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fac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F681-04A9-4E8F-A98C-E37BCF2F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4305</Characters>
  <Application>Microsoft Office Word</Application>
  <DocSecurity>0</DocSecurity>
  <Lines>35</Lines>
  <Paragraphs>10</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Paris, 16 septembre 2013</vt:lpstr>
      <vt:lpstr>Paris, 16 septembre 2013</vt:lpstr>
      <vt:lpstr>Paris, 16 septembre 2013</vt:lpstr>
    </vt:vector>
  </TitlesOfParts>
  <Company>COFACE</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Hari Afo</cp:lastModifiedBy>
  <cp:revision>2</cp:revision>
  <cp:lastPrinted>2015-06-24T08:28:00Z</cp:lastPrinted>
  <dcterms:created xsi:type="dcterms:W3CDTF">2015-06-29T14:32:00Z</dcterms:created>
  <dcterms:modified xsi:type="dcterms:W3CDTF">2015-06-29T14:32:00Z</dcterms:modified>
</cp:coreProperties>
</file>